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B8" w:rsidRPr="007E4BC1" w:rsidRDefault="00CF11B8" w:rsidP="00CF11B8">
      <w:pPr>
        <w:ind w:left="-90"/>
        <w:rPr>
          <w:rFonts w:ascii="Times New Roman" w:eastAsia="PMingLiU" w:hAnsi="Times New Roman" w:cs="Times New Roman"/>
          <w:bCs/>
          <w:kern w:val="32"/>
          <w:sz w:val="32"/>
          <w:szCs w:val="32"/>
        </w:rPr>
      </w:pPr>
      <w:r w:rsidRPr="007E4BC1">
        <w:rPr>
          <w:rFonts w:ascii="Times New Roman" w:eastAsia="PMingLiU" w:hAnsi="Times New Roman" w:cs="Times New Roman"/>
          <w:bCs/>
          <w:kern w:val="32"/>
          <w:sz w:val="32"/>
          <w:szCs w:val="32"/>
        </w:rPr>
        <w:t>Data subject Access Request Policy and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740"/>
        <w:gridCol w:w="1705"/>
        <w:gridCol w:w="1960"/>
        <w:gridCol w:w="1960"/>
      </w:tblGrid>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Title</w:t>
            </w:r>
          </w:p>
        </w:tc>
        <w:tc>
          <w:tcPr>
            <w:tcW w:w="5625" w:type="dxa"/>
            <w:gridSpan w:val="3"/>
            <w:vAlign w:val="center"/>
          </w:tcPr>
          <w:p w:rsidR="00CF11B8" w:rsidRPr="007E4BC1" w:rsidRDefault="008018B9" w:rsidP="003A5019">
            <w:pPr>
              <w:rPr>
                <w:rFonts w:ascii="Times New Roman" w:hAnsi="Times New Roman" w:cs="Times New Roman"/>
                <w:bCs/>
              </w:rPr>
            </w:pPr>
            <w:r w:rsidRPr="007E4BC1">
              <w:rPr>
                <w:rFonts w:ascii="Times New Roman" w:hAnsi="Times New Roman" w:cs="Times New Roman"/>
                <w:bCs/>
              </w:rPr>
              <w:t>Data Subject Access Request Policy and Procedure</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Classification:</w:t>
            </w:r>
          </w:p>
        </w:tc>
        <w:tc>
          <w:tcPr>
            <w:tcW w:w="5625" w:type="dxa"/>
            <w:gridSpan w:val="3"/>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Internal Use Only</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Author</w:t>
            </w:r>
          </w:p>
        </w:tc>
        <w:tc>
          <w:tcPr>
            <w:tcW w:w="5625" w:type="dxa"/>
            <w:gridSpan w:val="3"/>
            <w:vAlign w:val="center"/>
          </w:tcPr>
          <w:p w:rsidR="00CF11B8" w:rsidRPr="007E4BC1" w:rsidRDefault="00CF11B8" w:rsidP="003A5019">
            <w:pPr>
              <w:rPr>
                <w:rFonts w:ascii="Times New Roman" w:hAnsi="Times New Roman" w:cs="Times New Roman"/>
              </w:rPr>
            </w:pPr>
            <w:proofErr w:type="spellStart"/>
            <w:r w:rsidRPr="007E4BC1">
              <w:rPr>
                <w:rFonts w:ascii="Times New Roman" w:hAnsi="Times New Roman" w:cs="Times New Roman"/>
              </w:rPr>
              <w:t>Ashka</w:t>
            </w:r>
            <w:proofErr w:type="spellEnd"/>
            <w:r w:rsidRPr="007E4BC1">
              <w:rPr>
                <w:rFonts w:ascii="Times New Roman" w:hAnsi="Times New Roman" w:cs="Times New Roman"/>
              </w:rPr>
              <w:t xml:space="preserve"> </w:t>
            </w:r>
            <w:proofErr w:type="spellStart"/>
            <w:r w:rsidRPr="007E4BC1">
              <w:rPr>
                <w:rFonts w:ascii="Times New Roman" w:hAnsi="Times New Roman" w:cs="Times New Roman"/>
              </w:rPr>
              <w:t>Trivedi</w:t>
            </w:r>
            <w:proofErr w:type="spellEnd"/>
            <w:r w:rsidRPr="007E4BC1">
              <w:rPr>
                <w:rFonts w:ascii="Times New Roman" w:hAnsi="Times New Roman" w:cs="Times New Roman"/>
              </w:rPr>
              <w:t xml:space="preserve"> (Compliance Officer)</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Reviewer (</w:t>
            </w:r>
            <w:r w:rsidRPr="007E4BC1">
              <w:rPr>
                <w:rFonts w:ascii="Times New Roman" w:eastAsia="Cambria" w:hAnsi="Times New Roman" w:cs="Times New Roman"/>
              </w:rPr>
              <w:t>suitability and adequacy)</w:t>
            </w:r>
          </w:p>
        </w:tc>
        <w:tc>
          <w:tcPr>
            <w:tcW w:w="5625" w:type="dxa"/>
            <w:gridSpan w:val="3"/>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Security Officer</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Approver (</w:t>
            </w:r>
            <w:r w:rsidRPr="007E4BC1">
              <w:rPr>
                <w:rFonts w:ascii="Times New Roman" w:eastAsia="Cambria" w:hAnsi="Times New Roman" w:cs="Times New Roman"/>
              </w:rPr>
              <w:t>suitability and adequacy)</w:t>
            </w:r>
          </w:p>
        </w:tc>
        <w:tc>
          <w:tcPr>
            <w:tcW w:w="5625" w:type="dxa"/>
            <w:gridSpan w:val="3"/>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Chief Executive Officer</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Policy/Document Owner</w:t>
            </w:r>
          </w:p>
        </w:tc>
        <w:tc>
          <w:tcPr>
            <w:tcW w:w="5625" w:type="dxa"/>
            <w:gridSpan w:val="3"/>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Security Officer</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Current Version</w:t>
            </w:r>
          </w:p>
        </w:tc>
        <w:tc>
          <w:tcPr>
            <w:tcW w:w="5625" w:type="dxa"/>
            <w:gridSpan w:val="3"/>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1.0</w:t>
            </w:r>
          </w:p>
        </w:tc>
      </w:tr>
      <w:tr w:rsidR="00CF11B8" w:rsidRPr="007E4BC1" w:rsidTr="003A5019">
        <w:trPr>
          <w:trHeight w:val="576"/>
        </w:trPr>
        <w:tc>
          <w:tcPr>
            <w:tcW w:w="2900" w:type="dxa"/>
            <w:gridSpan w:val="2"/>
            <w:vAlign w:val="center"/>
          </w:tcPr>
          <w:p w:rsidR="00CF11B8" w:rsidRPr="007E4BC1" w:rsidRDefault="00CF11B8" w:rsidP="003A5019">
            <w:pPr>
              <w:rPr>
                <w:rFonts w:ascii="Times New Roman" w:hAnsi="Times New Roman" w:cs="Times New Roman"/>
              </w:rPr>
            </w:pPr>
            <w:r w:rsidRPr="007E4BC1">
              <w:rPr>
                <w:rFonts w:ascii="Times New Roman" w:hAnsi="Times New Roman" w:cs="Times New Roman"/>
              </w:rPr>
              <w:t>First Document Release Date</w:t>
            </w:r>
          </w:p>
        </w:tc>
        <w:tc>
          <w:tcPr>
            <w:tcW w:w="5625" w:type="dxa"/>
            <w:gridSpan w:val="3"/>
            <w:vAlign w:val="center"/>
          </w:tcPr>
          <w:p w:rsidR="00CF11B8" w:rsidRPr="007E4BC1" w:rsidRDefault="00CF11B8" w:rsidP="003A5019">
            <w:pPr>
              <w:rPr>
                <w:rFonts w:ascii="Times New Roman" w:hAnsi="Times New Roman" w:cs="Times New Roman"/>
              </w:rPr>
            </w:pPr>
          </w:p>
        </w:tc>
      </w:tr>
      <w:tr w:rsidR="00CF11B8" w:rsidRPr="007E4BC1" w:rsidTr="003A5019">
        <w:trPr>
          <w:trHeight w:val="576"/>
        </w:trPr>
        <w:tc>
          <w:tcPr>
            <w:tcW w:w="8525" w:type="dxa"/>
            <w:gridSpan w:val="5"/>
            <w:vAlign w:val="center"/>
          </w:tcPr>
          <w:p w:rsidR="00CF11B8" w:rsidRPr="007E4BC1" w:rsidRDefault="00CF11B8" w:rsidP="003A5019">
            <w:pPr>
              <w:jc w:val="center"/>
              <w:rPr>
                <w:rFonts w:ascii="Times New Roman" w:hAnsi="Times New Roman" w:cs="Times New Roman"/>
              </w:rPr>
            </w:pPr>
            <w:r w:rsidRPr="007E4BC1">
              <w:rPr>
                <w:rFonts w:ascii="Times New Roman" w:hAnsi="Times New Roman" w:cs="Times New Roman"/>
              </w:rPr>
              <w:t>Modification History:</w:t>
            </w:r>
          </w:p>
        </w:tc>
      </w:tr>
      <w:tr w:rsidR="00CF11B8" w:rsidRPr="007E4BC1" w:rsidTr="003A5019">
        <w:trPr>
          <w:trHeight w:val="576"/>
        </w:trPr>
        <w:tc>
          <w:tcPr>
            <w:tcW w:w="1160" w:type="dxa"/>
            <w:vAlign w:val="center"/>
          </w:tcPr>
          <w:p w:rsidR="00CF11B8" w:rsidRPr="007E4BC1" w:rsidRDefault="00CF11B8" w:rsidP="003A5019">
            <w:pPr>
              <w:jc w:val="center"/>
              <w:rPr>
                <w:rFonts w:ascii="Times New Roman" w:hAnsi="Times New Roman" w:cs="Times New Roman"/>
                <w:b/>
              </w:rPr>
            </w:pPr>
            <w:r w:rsidRPr="007E4BC1">
              <w:rPr>
                <w:rFonts w:ascii="Times New Roman" w:hAnsi="Times New Roman" w:cs="Times New Roman"/>
                <w:b/>
              </w:rPr>
              <w:t>S. No.</w:t>
            </w:r>
          </w:p>
        </w:tc>
        <w:tc>
          <w:tcPr>
            <w:tcW w:w="3445" w:type="dxa"/>
            <w:gridSpan w:val="2"/>
            <w:vAlign w:val="center"/>
          </w:tcPr>
          <w:p w:rsidR="00CF11B8" w:rsidRPr="007E4BC1" w:rsidRDefault="00CF11B8" w:rsidP="003A5019">
            <w:pPr>
              <w:jc w:val="center"/>
              <w:rPr>
                <w:rFonts w:ascii="Times New Roman" w:hAnsi="Times New Roman" w:cs="Times New Roman"/>
                <w:b/>
              </w:rPr>
            </w:pPr>
            <w:r w:rsidRPr="007E4BC1">
              <w:rPr>
                <w:rFonts w:ascii="Times New Roman" w:hAnsi="Times New Roman" w:cs="Times New Roman"/>
                <w:b/>
              </w:rPr>
              <w:t>Description of Change</w:t>
            </w:r>
          </w:p>
        </w:tc>
        <w:tc>
          <w:tcPr>
            <w:tcW w:w="1960" w:type="dxa"/>
            <w:vAlign w:val="center"/>
          </w:tcPr>
          <w:p w:rsidR="00CF11B8" w:rsidRPr="007E4BC1" w:rsidRDefault="00CF11B8" w:rsidP="003A5019">
            <w:pPr>
              <w:jc w:val="center"/>
              <w:rPr>
                <w:rFonts w:ascii="Times New Roman" w:hAnsi="Times New Roman" w:cs="Times New Roman"/>
                <w:b/>
              </w:rPr>
            </w:pPr>
            <w:r w:rsidRPr="007E4BC1">
              <w:rPr>
                <w:rFonts w:ascii="Times New Roman" w:hAnsi="Times New Roman" w:cs="Times New Roman"/>
                <w:b/>
              </w:rPr>
              <w:t>Date of Change</w:t>
            </w:r>
          </w:p>
        </w:tc>
        <w:tc>
          <w:tcPr>
            <w:tcW w:w="1960" w:type="dxa"/>
            <w:vAlign w:val="center"/>
          </w:tcPr>
          <w:p w:rsidR="00CF11B8" w:rsidRPr="007E4BC1" w:rsidRDefault="00CF11B8" w:rsidP="003A5019">
            <w:pPr>
              <w:jc w:val="center"/>
              <w:rPr>
                <w:rFonts w:ascii="Times New Roman" w:hAnsi="Times New Roman" w:cs="Times New Roman"/>
                <w:b/>
              </w:rPr>
            </w:pPr>
            <w:r w:rsidRPr="007E4BC1">
              <w:rPr>
                <w:rFonts w:ascii="Times New Roman" w:hAnsi="Times New Roman" w:cs="Times New Roman"/>
                <w:b/>
              </w:rPr>
              <w:t>Version No.</w:t>
            </w:r>
          </w:p>
        </w:tc>
      </w:tr>
      <w:tr w:rsidR="00CF11B8" w:rsidRPr="007E4BC1" w:rsidTr="003A5019">
        <w:trPr>
          <w:trHeight w:val="576"/>
        </w:trPr>
        <w:tc>
          <w:tcPr>
            <w:tcW w:w="1160" w:type="dxa"/>
            <w:vAlign w:val="center"/>
          </w:tcPr>
          <w:p w:rsidR="00CF11B8" w:rsidRPr="007E4BC1" w:rsidRDefault="00CF11B8" w:rsidP="003A5019">
            <w:pPr>
              <w:jc w:val="center"/>
              <w:rPr>
                <w:rFonts w:ascii="Times New Roman" w:hAnsi="Times New Roman" w:cs="Times New Roman"/>
              </w:rPr>
            </w:pPr>
            <w:r w:rsidRPr="007E4BC1">
              <w:rPr>
                <w:rFonts w:ascii="Times New Roman" w:hAnsi="Times New Roman" w:cs="Times New Roman"/>
              </w:rPr>
              <w:t>1</w:t>
            </w:r>
          </w:p>
        </w:tc>
        <w:tc>
          <w:tcPr>
            <w:tcW w:w="3445" w:type="dxa"/>
            <w:gridSpan w:val="2"/>
            <w:vAlign w:val="center"/>
          </w:tcPr>
          <w:p w:rsidR="00CF11B8" w:rsidRPr="007E4BC1" w:rsidRDefault="00CF11B8" w:rsidP="003A5019">
            <w:pPr>
              <w:rPr>
                <w:rFonts w:ascii="Times New Roman" w:hAnsi="Times New Roman" w:cs="Times New Roman"/>
              </w:rPr>
            </w:pPr>
          </w:p>
        </w:tc>
        <w:tc>
          <w:tcPr>
            <w:tcW w:w="1960" w:type="dxa"/>
            <w:vAlign w:val="center"/>
          </w:tcPr>
          <w:p w:rsidR="00CF11B8" w:rsidRPr="007E4BC1" w:rsidRDefault="00CF11B8" w:rsidP="003A5019">
            <w:pPr>
              <w:rPr>
                <w:rFonts w:ascii="Times New Roman" w:hAnsi="Times New Roman" w:cs="Times New Roman"/>
              </w:rPr>
            </w:pPr>
          </w:p>
        </w:tc>
        <w:tc>
          <w:tcPr>
            <w:tcW w:w="1960" w:type="dxa"/>
            <w:vAlign w:val="center"/>
          </w:tcPr>
          <w:p w:rsidR="00CF11B8" w:rsidRPr="007E4BC1" w:rsidRDefault="00CF11B8" w:rsidP="003A5019">
            <w:pPr>
              <w:rPr>
                <w:rFonts w:ascii="Times New Roman" w:hAnsi="Times New Roman" w:cs="Times New Roman"/>
              </w:rPr>
            </w:pPr>
          </w:p>
        </w:tc>
      </w:tr>
      <w:tr w:rsidR="00CF11B8" w:rsidRPr="007E4BC1" w:rsidTr="003A5019">
        <w:trPr>
          <w:trHeight w:val="576"/>
        </w:trPr>
        <w:tc>
          <w:tcPr>
            <w:tcW w:w="1160" w:type="dxa"/>
            <w:vAlign w:val="center"/>
          </w:tcPr>
          <w:p w:rsidR="00CF11B8" w:rsidRPr="007E4BC1" w:rsidRDefault="00CF11B8" w:rsidP="003A5019">
            <w:pPr>
              <w:jc w:val="center"/>
              <w:rPr>
                <w:rFonts w:ascii="Times New Roman" w:hAnsi="Times New Roman" w:cs="Times New Roman"/>
              </w:rPr>
            </w:pPr>
            <w:r w:rsidRPr="007E4BC1">
              <w:rPr>
                <w:rFonts w:ascii="Times New Roman" w:hAnsi="Times New Roman" w:cs="Times New Roman"/>
              </w:rPr>
              <w:t>2</w:t>
            </w:r>
          </w:p>
        </w:tc>
        <w:tc>
          <w:tcPr>
            <w:tcW w:w="3445" w:type="dxa"/>
            <w:gridSpan w:val="2"/>
            <w:vAlign w:val="center"/>
          </w:tcPr>
          <w:p w:rsidR="00CF11B8" w:rsidRPr="007E4BC1" w:rsidRDefault="00CF11B8" w:rsidP="003A5019">
            <w:pPr>
              <w:rPr>
                <w:rFonts w:ascii="Times New Roman" w:hAnsi="Times New Roman" w:cs="Times New Roman"/>
              </w:rPr>
            </w:pPr>
          </w:p>
        </w:tc>
        <w:tc>
          <w:tcPr>
            <w:tcW w:w="1960" w:type="dxa"/>
            <w:vAlign w:val="center"/>
          </w:tcPr>
          <w:p w:rsidR="00CF11B8" w:rsidRPr="007E4BC1" w:rsidRDefault="00CF11B8" w:rsidP="003A5019">
            <w:pPr>
              <w:rPr>
                <w:rFonts w:ascii="Times New Roman" w:hAnsi="Times New Roman" w:cs="Times New Roman"/>
              </w:rPr>
            </w:pPr>
          </w:p>
        </w:tc>
        <w:tc>
          <w:tcPr>
            <w:tcW w:w="1960" w:type="dxa"/>
            <w:vAlign w:val="center"/>
          </w:tcPr>
          <w:p w:rsidR="00CF11B8" w:rsidRPr="007E4BC1" w:rsidRDefault="00CF11B8" w:rsidP="003A5019">
            <w:pPr>
              <w:rPr>
                <w:rFonts w:ascii="Times New Roman" w:hAnsi="Times New Roman" w:cs="Times New Roman"/>
              </w:rPr>
            </w:pPr>
          </w:p>
        </w:tc>
      </w:tr>
      <w:tr w:rsidR="00CF11B8" w:rsidRPr="007E4BC1" w:rsidTr="003A5019">
        <w:trPr>
          <w:trHeight w:val="576"/>
        </w:trPr>
        <w:tc>
          <w:tcPr>
            <w:tcW w:w="1160" w:type="dxa"/>
            <w:vAlign w:val="center"/>
          </w:tcPr>
          <w:p w:rsidR="00CF11B8" w:rsidRPr="007E4BC1" w:rsidRDefault="00CF11B8" w:rsidP="003A5019">
            <w:pPr>
              <w:jc w:val="center"/>
              <w:rPr>
                <w:rFonts w:ascii="Times New Roman" w:hAnsi="Times New Roman" w:cs="Times New Roman"/>
              </w:rPr>
            </w:pPr>
            <w:r w:rsidRPr="007E4BC1">
              <w:rPr>
                <w:rFonts w:ascii="Times New Roman" w:hAnsi="Times New Roman" w:cs="Times New Roman"/>
              </w:rPr>
              <w:t>3</w:t>
            </w:r>
          </w:p>
        </w:tc>
        <w:tc>
          <w:tcPr>
            <w:tcW w:w="3445" w:type="dxa"/>
            <w:gridSpan w:val="2"/>
            <w:vAlign w:val="center"/>
          </w:tcPr>
          <w:p w:rsidR="00CF11B8" w:rsidRPr="007E4BC1" w:rsidRDefault="00CF11B8" w:rsidP="003A5019">
            <w:pPr>
              <w:rPr>
                <w:rFonts w:ascii="Times New Roman" w:hAnsi="Times New Roman" w:cs="Times New Roman"/>
              </w:rPr>
            </w:pPr>
          </w:p>
        </w:tc>
        <w:tc>
          <w:tcPr>
            <w:tcW w:w="1960" w:type="dxa"/>
            <w:vAlign w:val="center"/>
          </w:tcPr>
          <w:p w:rsidR="00CF11B8" w:rsidRPr="007E4BC1" w:rsidRDefault="00CF11B8" w:rsidP="003A5019">
            <w:pPr>
              <w:rPr>
                <w:rFonts w:ascii="Times New Roman" w:hAnsi="Times New Roman" w:cs="Times New Roman"/>
              </w:rPr>
            </w:pPr>
          </w:p>
        </w:tc>
        <w:tc>
          <w:tcPr>
            <w:tcW w:w="1960" w:type="dxa"/>
            <w:vAlign w:val="center"/>
          </w:tcPr>
          <w:p w:rsidR="00CF11B8" w:rsidRPr="007E4BC1" w:rsidRDefault="00CF11B8" w:rsidP="003A5019">
            <w:pPr>
              <w:rPr>
                <w:rFonts w:ascii="Times New Roman" w:hAnsi="Times New Roman" w:cs="Times New Roman"/>
              </w:rPr>
            </w:pPr>
          </w:p>
        </w:tc>
      </w:tr>
    </w:tbl>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sdt>
      <w:sdtPr>
        <w:rPr>
          <w:rFonts w:asciiTheme="minorHAnsi" w:eastAsiaTheme="minorEastAsia" w:hAnsiTheme="minorHAnsi" w:cstheme="minorBidi"/>
          <w:b w:val="0"/>
          <w:bCs w:val="0"/>
          <w:color w:val="auto"/>
          <w:sz w:val="22"/>
          <w:szCs w:val="22"/>
        </w:rPr>
        <w:id w:val="182522532"/>
        <w:docPartObj>
          <w:docPartGallery w:val="Table of Contents"/>
          <w:docPartUnique/>
        </w:docPartObj>
      </w:sdtPr>
      <w:sdtContent>
        <w:p w:rsidR="0025079A" w:rsidRDefault="0025079A">
          <w:pPr>
            <w:pStyle w:val="TOCHeading"/>
          </w:pPr>
          <w:r>
            <w:t>Table of Contents</w:t>
          </w:r>
        </w:p>
        <w:p w:rsidR="0025079A" w:rsidRDefault="008D14B5" w:rsidP="008D14B5">
          <w:pPr>
            <w:pStyle w:val="TOC1"/>
            <w:numPr>
              <w:ilvl w:val="0"/>
              <w:numId w:val="23"/>
            </w:numPr>
          </w:pPr>
          <w:r>
            <w:rPr>
              <w:b/>
            </w:rPr>
            <w:t>Introduction</w:t>
          </w:r>
          <w:r w:rsidR="0025079A">
            <w:ptab w:relativeTo="margin" w:alignment="right" w:leader="dot"/>
          </w:r>
          <w:r w:rsidR="00DF51FC">
            <w:rPr>
              <w:b/>
            </w:rPr>
            <w:t>3</w:t>
          </w:r>
        </w:p>
        <w:p w:rsidR="0025079A" w:rsidRDefault="008D14B5" w:rsidP="008D14B5">
          <w:pPr>
            <w:pStyle w:val="TOC2"/>
            <w:numPr>
              <w:ilvl w:val="1"/>
              <w:numId w:val="23"/>
            </w:numPr>
          </w:pPr>
          <w:r>
            <w:t>Purpose</w:t>
          </w:r>
          <w:r w:rsidR="0025079A">
            <w:ptab w:relativeTo="margin" w:alignment="right" w:leader="dot"/>
          </w:r>
          <w:r w:rsidR="00DF51FC">
            <w:t>3</w:t>
          </w:r>
        </w:p>
        <w:p w:rsidR="0025079A" w:rsidRDefault="008D14B5" w:rsidP="008D14B5">
          <w:pPr>
            <w:pStyle w:val="TOC3"/>
            <w:numPr>
              <w:ilvl w:val="1"/>
              <w:numId w:val="23"/>
            </w:numPr>
          </w:pPr>
          <w:r>
            <w:t>Scope</w:t>
          </w:r>
          <w:r w:rsidR="0025079A">
            <w:ptab w:relativeTo="margin" w:alignment="right" w:leader="dot"/>
          </w:r>
          <w:r w:rsidR="0025079A">
            <w:t>3</w:t>
          </w:r>
        </w:p>
        <w:p w:rsidR="0025079A" w:rsidRDefault="008D14B5" w:rsidP="008D14B5">
          <w:pPr>
            <w:pStyle w:val="TOC1"/>
            <w:numPr>
              <w:ilvl w:val="0"/>
              <w:numId w:val="23"/>
            </w:numPr>
            <w:rPr>
              <w:b/>
            </w:rPr>
          </w:pPr>
          <w:r>
            <w:rPr>
              <w:b/>
            </w:rPr>
            <w:t>Policy</w:t>
          </w:r>
          <w:r w:rsidR="0025079A">
            <w:ptab w:relativeTo="margin" w:alignment="right" w:leader="dot"/>
          </w:r>
          <w:r w:rsidR="00DF51FC">
            <w:rPr>
              <w:b/>
            </w:rPr>
            <w:t>3</w:t>
          </w:r>
        </w:p>
        <w:p w:rsidR="008D14B5" w:rsidRDefault="008D14B5" w:rsidP="008D14B5">
          <w:pPr>
            <w:pStyle w:val="TOC1"/>
            <w:numPr>
              <w:ilvl w:val="0"/>
              <w:numId w:val="23"/>
            </w:numPr>
          </w:pPr>
          <w:r>
            <w:rPr>
              <w:b/>
            </w:rPr>
            <w:t>Procedure</w:t>
          </w:r>
          <w:r>
            <w:ptab w:relativeTo="margin" w:alignment="right" w:leader="dot"/>
          </w:r>
          <w:r w:rsidR="00DF51FC">
            <w:rPr>
              <w:b/>
            </w:rPr>
            <w:t>3</w:t>
          </w:r>
        </w:p>
        <w:p w:rsidR="008D14B5" w:rsidRDefault="008D14B5" w:rsidP="008D14B5">
          <w:pPr>
            <w:pStyle w:val="TOC1"/>
            <w:numPr>
              <w:ilvl w:val="0"/>
              <w:numId w:val="23"/>
            </w:numPr>
          </w:pPr>
          <w:r>
            <w:rPr>
              <w:b/>
            </w:rPr>
            <w:t>Associated documents and Policies</w:t>
          </w:r>
          <w:r>
            <w:ptab w:relativeTo="margin" w:alignment="right" w:leader="dot"/>
          </w:r>
          <w:r>
            <w:rPr>
              <w:b/>
            </w:rPr>
            <w:t>4</w:t>
          </w:r>
        </w:p>
        <w:p w:rsidR="008D14B5" w:rsidRDefault="008D14B5" w:rsidP="008D14B5">
          <w:pPr>
            <w:pStyle w:val="TOC1"/>
            <w:numPr>
              <w:ilvl w:val="0"/>
              <w:numId w:val="23"/>
            </w:numPr>
          </w:pPr>
          <w:r>
            <w:rPr>
              <w:b/>
            </w:rPr>
            <w:t>Definitions</w:t>
          </w:r>
          <w:r>
            <w:ptab w:relativeTo="margin" w:alignment="right" w:leader="dot"/>
          </w:r>
          <w:r>
            <w:rPr>
              <w:b/>
            </w:rPr>
            <w:t>4</w:t>
          </w:r>
        </w:p>
        <w:p w:rsidR="008D14B5" w:rsidRDefault="008D14B5" w:rsidP="008D14B5">
          <w:pPr>
            <w:pStyle w:val="TOC1"/>
            <w:ind w:left="360"/>
          </w:pPr>
          <w:r>
            <w:rPr>
              <w:b/>
            </w:rPr>
            <w:t>Appendix 1 Rights of Data Subjects</w:t>
          </w:r>
          <w:r>
            <w:ptab w:relativeTo="margin" w:alignment="right" w:leader="dot"/>
          </w:r>
          <w:r w:rsidR="00DF51FC">
            <w:rPr>
              <w:b/>
            </w:rPr>
            <w:t>5</w:t>
          </w:r>
        </w:p>
        <w:p w:rsidR="0025079A" w:rsidRDefault="00CC3FFF">
          <w:pPr>
            <w:pStyle w:val="TOC3"/>
            <w:ind w:left="446"/>
          </w:pPr>
        </w:p>
      </w:sdtContent>
    </w:sdt>
    <w:p w:rsidR="00CF11B8" w:rsidRPr="007E4BC1" w:rsidRDefault="00CF11B8" w:rsidP="00CF11B8">
      <w:pPr>
        <w:rPr>
          <w:rFonts w:ascii="Times New Roman" w:hAnsi="Times New Roman" w:cs="Times New Roman"/>
        </w:rPr>
      </w:pPr>
    </w:p>
    <w:p w:rsidR="00CF11B8" w:rsidRPr="007E4BC1" w:rsidRDefault="00CF11B8" w:rsidP="00511C86">
      <w:pPr>
        <w:jc w:val="cente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rsidP="00CF11B8">
      <w:pPr>
        <w:rPr>
          <w:rFonts w:ascii="Times New Roman" w:hAnsi="Times New Roman" w:cs="Times New Roman"/>
        </w:rPr>
      </w:pPr>
    </w:p>
    <w:p w:rsidR="00757342" w:rsidRPr="007E4BC1" w:rsidRDefault="00757342" w:rsidP="00CF11B8">
      <w:pPr>
        <w:rPr>
          <w:rFonts w:ascii="Times New Roman" w:hAnsi="Times New Roman" w:cs="Times New Roman"/>
        </w:rPr>
      </w:pPr>
    </w:p>
    <w:p w:rsidR="00CF11B8" w:rsidRPr="007E4BC1" w:rsidRDefault="003C25B4" w:rsidP="00CF11B8">
      <w:pPr>
        <w:pStyle w:val="ListParagraph"/>
        <w:numPr>
          <w:ilvl w:val="0"/>
          <w:numId w:val="1"/>
        </w:numPr>
        <w:rPr>
          <w:rFonts w:ascii="Times New Roman" w:hAnsi="Times New Roman" w:cs="Times New Roman"/>
          <w:b/>
          <w:sz w:val="24"/>
          <w:szCs w:val="24"/>
        </w:rPr>
      </w:pPr>
      <w:r w:rsidRPr="007E4BC1">
        <w:rPr>
          <w:rFonts w:ascii="Times New Roman" w:hAnsi="Times New Roman" w:cs="Times New Roman"/>
          <w:b/>
          <w:sz w:val="24"/>
          <w:szCs w:val="24"/>
        </w:rPr>
        <w:lastRenderedPageBreak/>
        <w:t>Introduction</w:t>
      </w:r>
    </w:p>
    <w:p w:rsidR="00805CF4" w:rsidRPr="007E4BC1" w:rsidRDefault="00805CF4" w:rsidP="00805CF4">
      <w:pPr>
        <w:pStyle w:val="ListParagraph"/>
        <w:rPr>
          <w:rFonts w:ascii="Times New Roman" w:hAnsi="Times New Roman" w:cs="Times New Roman"/>
        </w:rPr>
      </w:pPr>
      <w:r w:rsidRPr="007E4BC1">
        <w:rPr>
          <w:rFonts w:ascii="Times New Roman" w:hAnsi="Times New Roman" w:cs="Times New Roman"/>
        </w:rPr>
        <w:t>The GDPR (General Data Protection Regulation) creates some new Rights for Data Subjects as well as strengthening existing Rights. As a Data Proce</w:t>
      </w:r>
      <w:r w:rsidR="007014B2" w:rsidRPr="007E4BC1">
        <w:rPr>
          <w:rFonts w:ascii="Times New Roman" w:hAnsi="Times New Roman" w:cs="Times New Roman"/>
        </w:rPr>
        <w:t>ssor, the A</w:t>
      </w:r>
      <w:r w:rsidRPr="007E4BC1">
        <w:rPr>
          <w:rFonts w:ascii="Times New Roman" w:hAnsi="Times New Roman" w:cs="Times New Roman"/>
        </w:rPr>
        <w:t>cquire must be able to comply with these rights.</w:t>
      </w:r>
    </w:p>
    <w:p w:rsidR="00805CF4" w:rsidRPr="007E4BC1" w:rsidRDefault="00805CF4" w:rsidP="00805CF4">
      <w:pPr>
        <w:pStyle w:val="ListParagraph"/>
        <w:rPr>
          <w:rFonts w:ascii="Times New Roman" w:hAnsi="Times New Roman" w:cs="Times New Roman"/>
        </w:rPr>
      </w:pPr>
    </w:p>
    <w:p w:rsidR="006F0BA3" w:rsidRPr="007E4BC1" w:rsidRDefault="006F0BA3" w:rsidP="006F0BA3">
      <w:pPr>
        <w:pStyle w:val="ListParagraph"/>
        <w:numPr>
          <w:ilvl w:val="1"/>
          <w:numId w:val="1"/>
        </w:numPr>
        <w:rPr>
          <w:rFonts w:ascii="Times New Roman" w:hAnsi="Times New Roman" w:cs="Times New Roman"/>
          <w:b/>
          <w:sz w:val="24"/>
          <w:szCs w:val="24"/>
        </w:rPr>
      </w:pPr>
      <w:r w:rsidRPr="007E4BC1">
        <w:rPr>
          <w:rFonts w:ascii="Times New Roman" w:hAnsi="Times New Roman" w:cs="Times New Roman"/>
          <w:b/>
          <w:sz w:val="24"/>
          <w:szCs w:val="24"/>
        </w:rPr>
        <w:t>Purpose</w:t>
      </w:r>
    </w:p>
    <w:p w:rsidR="006F0BA3" w:rsidRPr="007E4BC1" w:rsidRDefault="007014B2" w:rsidP="006F0BA3">
      <w:pPr>
        <w:pStyle w:val="ListParagraph"/>
        <w:rPr>
          <w:rFonts w:ascii="Times New Roman" w:hAnsi="Times New Roman" w:cs="Times New Roman"/>
        </w:rPr>
      </w:pPr>
      <w:r w:rsidRPr="007E4BC1">
        <w:rPr>
          <w:rFonts w:ascii="Times New Roman" w:hAnsi="Times New Roman" w:cs="Times New Roman"/>
        </w:rPr>
        <w:t>This policy and procedure applies establishes as effective, accountable and transparent framework for ensuring compliance with the requirement for Acquire Inc by GDPR.</w:t>
      </w:r>
    </w:p>
    <w:p w:rsidR="007014B2" w:rsidRPr="007E4BC1" w:rsidRDefault="007014B2" w:rsidP="006F0BA3">
      <w:pPr>
        <w:pStyle w:val="ListParagraph"/>
        <w:rPr>
          <w:rFonts w:ascii="Times New Roman" w:hAnsi="Times New Roman" w:cs="Times New Roman"/>
        </w:rPr>
      </w:pPr>
    </w:p>
    <w:p w:rsidR="007014B2" w:rsidRPr="007E4BC1" w:rsidRDefault="007014B2" w:rsidP="007014B2">
      <w:pPr>
        <w:pStyle w:val="ListParagraph"/>
        <w:numPr>
          <w:ilvl w:val="1"/>
          <w:numId w:val="1"/>
        </w:numPr>
        <w:rPr>
          <w:rFonts w:ascii="Times New Roman" w:hAnsi="Times New Roman" w:cs="Times New Roman"/>
          <w:b/>
          <w:sz w:val="24"/>
          <w:szCs w:val="24"/>
        </w:rPr>
      </w:pPr>
      <w:r w:rsidRPr="007E4BC1">
        <w:rPr>
          <w:rFonts w:ascii="Times New Roman" w:hAnsi="Times New Roman" w:cs="Times New Roman"/>
          <w:b/>
          <w:sz w:val="24"/>
          <w:szCs w:val="24"/>
        </w:rPr>
        <w:t>Scope</w:t>
      </w:r>
    </w:p>
    <w:p w:rsidR="007014B2" w:rsidRPr="007E4BC1" w:rsidRDefault="007014B2" w:rsidP="007014B2">
      <w:pPr>
        <w:pStyle w:val="ListParagraph"/>
        <w:rPr>
          <w:rFonts w:ascii="Times New Roman" w:hAnsi="Times New Roman" w:cs="Times New Roman"/>
        </w:rPr>
      </w:pPr>
      <w:r w:rsidRPr="007E4BC1">
        <w:rPr>
          <w:rFonts w:ascii="Times New Roman" w:hAnsi="Times New Roman" w:cs="Times New Roman"/>
        </w:rPr>
        <w:t>This policy and procedure applies across all entities or subsidiaries owned, controlled, or operated by Acquire</w:t>
      </w:r>
      <w:r w:rsidR="007C2C67" w:rsidRPr="007E4BC1">
        <w:rPr>
          <w:rFonts w:ascii="Times New Roman" w:hAnsi="Times New Roman" w:cs="Times New Roman"/>
        </w:rPr>
        <w:t xml:space="preserve"> and all employees, including temporary, permanent or contract employees that handle Acquire data.</w:t>
      </w:r>
    </w:p>
    <w:p w:rsidR="007C2C67" w:rsidRPr="007E4BC1" w:rsidRDefault="007C2C67" w:rsidP="007014B2">
      <w:pPr>
        <w:pStyle w:val="ListParagraph"/>
        <w:rPr>
          <w:rFonts w:ascii="Times New Roman" w:hAnsi="Times New Roman" w:cs="Times New Roman"/>
        </w:rPr>
      </w:pPr>
    </w:p>
    <w:p w:rsidR="007C2C67" w:rsidRPr="007E4BC1" w:rsidRDefault="007C2C67" w:rsidP="007014B2">
      <w:pPr>
        <w:pStyle w:val="ListParagraph"/>
        <w:rPr>
          <w:rFonts w:ascii="Times New Roman" w:hAnsi="Times New Roman" w:cs="Times New Roman"/>
        </w:rPr>
      </w:pPr>
    </w:p>
    <w:p w:rsidR="007C2C67" w:rsidRPr="007E4BC1" w:rsidRDefault="007C2C67" w:rsidP="007C2C67">
      <w:pPr>
        <w:pStyle w:val="ListParagraph"/>
        <w:numPr>
          <w:ilvl w:val="0"/>
          <w:numId w:val="1"/>
        </w:numPr>
        <w:rPr>
          <w:rFonts w:ascii="Times New Roman" w:hAnsi="Times New Roman" w:cs="Times New Roman"/>
          <w:b/>
          <w:sz w:val="24"/>
          <w:szCs w:val="24"/>
        </w:rPr>
      </w:pPr>
      <w:r w:rsidRPr="007E4BC1">
        <w:rPr>
          <w:rFonts w:ascii="Times New Roman" w:hAnsi="Times New Roman" w:cs="Times New Roman"/>
          <w:b/>
          <w:sz w:val="24"/>
          <w:szCs w:val="24"/>
        </w:rPr>
        <w:t>Policy</w:t>
      </w:r>
    </w:p>
    <w:p w:rsidR="002377F6" w:rsidRPr="007E4BC1" w:rsidRDefault="002377F6" w:rsidP="002377F6">
      <w:pPr>
        <w:pStyle w:val="ListParagraph"/>
        <w:ind w:left="1620"/>
        <w:rPr>
          <w:rFonts w:ascii="Times New Roman" w:hAnsi="Times New Roman" w:cs="Times New Roman"/>
        </w:rPr>
      </w:pPr>
    </w:p>
    <w:p w:rsidR="007C2C67" w:rsidRPr="007E4BC1" w:rsidRDefault="00312608" w:rsidP="007E4BC1">
      <w:pPr>
        <w:pStyle w:val="ListParagraph"/>
        <w:numPr>
          <w:ilvl w:val="0"/>
          <w:numId w:val="20"/>
        </w:numPr>
        <w:rPr>
          <w:rFonts w:ascii="Times New Roman" w:hAnsi="Times New Roman" w:cs="Times New Roman"/>
        </w:rPr>
      </w:pPr>
      <w:r w:rsidRPr="007E4BC1">
        <w:rPr>
          <w:rFonts w:ascii="Times New Roman" w:hAnsi="Times New Roman" w:cs="Times New Roman"/>
        </w:rPr>
        <w:t>For all data subjects the GDPR details rights of access to both manual and electronic data. This is also known as Data Subject Access Request.</w:t>
      </w:r>
    </w:p>
    <w:p w:rsidR="00312608" w:rsidRPr="007E4BC1" w:rsidRDefault="00312608" w:rsidP="007E4BC1">
      <w:pPr>
        <w:pStyle w:val="ListParagraph"/>
        <w:numPr>
          <w:ilvl w:val="0"/>
          <w:numId w:val="20"/>
        </w:numPr>
        <w:rPr>
          <w:rFonts w:ascii="Times New Roman" w:hAnsi="Times New Roman" w:cs="Times New Roman"/>
        </w:rPr>
      </w:pPr>
      <w:r w:rsidRPr="007E4BC1">
        <w:rPr>
          <w:rFonts w:ascii="Times New Roman" w:hAnsi="Times New Roman" w:cs="Times New Roman"/>
        </w:rPr>
        <w:t>For GDPR compliance, organizations are required to respond to subject access requests within one month.</w:t>
      </w:r>
      <w:r w:rsidR="003A1A66" w:rsidRPr="007E4BC1">
        <w:rPr>
          <w:rFonts w:ascii="Times New Roman" w:hAnsi="Times New Roman" w:cs="Times New Roman"/>
        </w:rPr>
        <w:t xml:space="preserve"> Fail to do so can </w:t>
      </w:r>
      <w:r w:rsidR="00744C4B" w:rsidRPr="007E4BC1">
        <w:rPr>
          <w:rFonts w:ascii="Times New Roman" w:hAnsi="Times New Roman" w:cs="Times New Roman"/>
        </w:rPr>
        <w:t>be a breach of GDPR and could lead to a complaint being made to Data Protection Regulator.</w:t>
      </w:r>
    </w:p>
    <w:p w:rsidR="00A21E76" w:rsidRPr="007E4BC1" w:rsidRDefault="00744C4B" w:rsidP="007E4BC1">
      <w:pPr>
        <w:pStyle w:val="ListParagraph"/>
        <w:numPr>
          <w:ilvl w:val="0"/>
          <w:numId w:val="20"/>
        </w:numPr>
        <w:rPr>
          <w:rFonts w:ascii="Times New Roman" w:hAnsi="Times New Roman" w:cs="Times New Roman"/>
        </w:rPr>
      </w:pPr>
      <w:r w:rsidRPr="007E4BC1">
        <w:rPr>
          <w:rFonts w:ascii="Times New Roman" w:hAnsi="Times New Roman" w:cs="Times New Roman"/>
        </w:rPr>
        <w:t>This policy informs staff of the process for supplying individuals with rights of access</w:t>
      </w:r>
      <w:r w:rsidR="00A21E76" w:rsidRPr="007E4BC1">
        <w:rPr>
          <w:rFonts w:ascii="Times New Roman" w:hAnsi="Times New Roman" w:cs="Times New Roman"/>
        </w:rPr>
        <w:t xml:space="preserve"> to personal data and the right of access to staff information under GDPR. Specifically:</w:t>
      </w:r>
    </w:p>
    <w:p w:rsidR="00A21E76" w:rsidRPr="007E4BC1" w:rsidRDefault="00A21E76" w:rsidP="007E4BC1">
      <w:pPr>
        <w:pStyle w:val="ListParagraph"/>
        <w:numPr>
          <w:ilvl w:val="0"/>
          <w:numId w:val="20"/>
        </w:numPr>
        <w:rPr>
          <w:rFonts w:ascii="Times New Roman" w:hAnsi="Times New Roman" w:cs="Times New Roman"/>
        </w:rPr>
      </w:pPr>
      <w:r w:rsidRPr="007E4BC1">
        <w:rPr>
          <w:rFonts w:ascii="Times New Roman" w:hAnsi="Times New Roman" w:cs="Times New Roman"/>
        </w:rPr>
        <w:t xml:space="preserve">All staff needs to be aware of their responsibilities to provide information when a data subject access request is received. When a subject access request </w:t>
      </w:r>
      <w:r w:rsidR="007F491D" w:rsidRPr="007E4BC1">
        <w:rPr>
          <w:rFonts w:ascii="Times New Roman" w:hAnsi="Times New Roman" w:cs="Times New Roman"/>
        </w:rPr>
        <w:t>is received, it should immediately be reported to data protection officer to log and track each request.</w:t>
      </w:r>
    </w:p>
    <w:p w:rsidR="007F491D" w:rsidRPr="007E4BC1" w:rsidRDefault="007F491D" w:rsidP="007E4BC1">
      <w:pPr>
        <w:pStyle w:val="ListParagraph"/>
        <w:numPr>
          <w:ilvl w:val="0"/>
          <w:numId w:val="20"/>
        </w:numPr>
        <w:rPr>
          <w:rFonts w:ascii="Times New Roman" w:hAnsi="Times New Roman" w:cs="Times New Roman"/>
        </w:rPr>
      </w:pPr>
      <w:r w:rsidRPr="007E4BC1">
        <w:rPr>
          <w:rFonts w:ascii="Times New Roman" w:hAnsi="Times New Roman" w:cs="Times New Roman"/>
        </w:rPr>
        <w:t>Request must be made in writing.</w:t>
      </w:r>
    </w:p>
    <w:p w:rsidR="007F491D" w:rsidRPr="007E4BC1" w:rsidRDefault="007F491D" w:rsidP="007E4BC1">
      <w:pPr>
        <w:pStyle w:val="ListParagraph"/>
        <w:numPr>
          <w:ilvl w:val="0"/>
          <w:numId w:val="20"/>
        </w:numPr>
        <w:rPr>
          <w:rFonts w:ascii="Times New Roman" w:hAnsi="Times New Roman" w:cs="Times New Roman"/>
        </w:rPr>
      </w:pPr>
      <w:r w:rsidRPr="007E4BC1">
        <w:rPr>
          <w:rFonts w:ascii="Times New Roman" w:hAnsi="Times New Roman" w:cs="Times New Roman"/>
        </w:rPr>
        <w:t>The statutory response time is one month.</w:t>
      </w:r>
    </w:p>
    <w:p w:rsidR="007F491D" w:rsidRPr="007E4BC1" w:rsidRDefault="007F491D" w:rsidP="007E4BC1">
      <w:pPr>
        <w:pStyle w:val="ListParagraph"/>
        <w:numPr>
          <w:ilvl w:val="0"/>
          <w:numId w:val="20"/>
        </w:numPr>
        <w:rPr>
          <w:rFonts w:ascii="Times New Roman" w:hAnsi="Times New Roman" w:cs="Times New Roman"/>
        </w:rPr>
      </w:pPr>
      <w:r w:rsidRPr="007E4BC1">
        <w:rPr>
          <w:rFonts w:ascii="Times New Roman" w:hAnsi="Times New Roman" w:cs="Times New Roman"/>
        </w:rPr>
        <w:t>Request must include the full name, date of birth and address of the person seeking access to their information. To comply with GDPR, information relating to the individual must only be disclosed to them or someone with their written consent to receive it.</w:t>
      </w:r>
    </w:p>
    <w:p w:rsidR="005C74C2" w:rsidRPr="007E4BC1" w:rsidRDefault="007F491D" w:rsidP="007E4BC1">
      <w:pPr>
        <w:pStyle w:val="ListParagraph"/>
        <w:numPr>
          <w:ilvl w:val="0"/>
          <w:numId w:val="20"/>
        </w:numPr>
        <w:rPr>
          <w:rFonts w:ascii="Times New Roman" w:hAnsi="Times New Roman" w:cs="Times New Roman"/>
        </w:rPr>
      </w:pPr>
      <w:r w:rsidRPr="007E4BC1">
        <w:rPr>
          <w:rFonts w:ascii="Times New Roman" w:hAnsi="Times New Roman" w:cs="Times New Roman"/>
        </w:rPr>
        <w:t>No fee can be charged for initial data subject access request for all types of record, whether manual or electronic format.</w:t>
      </w:r>
    </w:p>
    <w:p w:rsidR="005C74C2" w:rsidRPr="007E4BC1" w:rsidRDefault="005C74C2" w:rsidP="005C74C2">
      <w:pPr>
        <w:pStyle w:val="ListParagraph"/>
        <w:rPr>
          <w:rFonts w:ascii="Times New Roman" w:hAnsi="Times New Roman" w:cs="Times New Roman"/>
        </w:rPr>
      </w:pPr>
    </w:p>
    <w:p w:rsidR="005C74C2" w:rsidRPr="007E4BC1" w:rsidRDefault="005C74C2" w:rsidP="005C74C2">
      <w:pPr>
        <w:pStyle w:val="ListParagraph"/>
        <w:numPr>
          <w:ilvl w:val="0"/>
          <w:numId w:val="1"/>
        </w:numPr>
        <w:rPr>
          <w:rFonts w:ascii="Times New Roman" w:hAnsi="Times New Roman" w:cs="Times New Roman"/>
          <w:b/>
          <w:sz w:val="24"/>
          <w:szCs w:val="24"/>
        </w:rPr>
      </w:pPr>
      <w:r w:rsidRPr="007E4BC1">
        <w:rPr>
          <w:rFonts w:ascii="Times New Roman" w:hAnsi="Times New Roman" w:cs="Times New Roman"/>
          <w:b/>
          <w:sz w:val="24"/>
          <w:szCs w:val="24"/>
        </w:rPr>
        <w:t>Procedure</w:t>
      </w:r>
    </w:p>
    <w:p w:rsidR="005C74C2" w:rsidRPr="007E4BC1" w:rsidRDefault="005C74C2" w:rsidP="005C74C2">
      <w:pPr>
        <w:pStyle w:val="ListParagraph"/>
        <w:rPr>
          <w:rFonts w:ascii="Times New Roman" w:hAnsi="Times New Roman" w:cs="Times New Roman"/>
        </w:rPr>
      </w:pPr>
    </w:p>
    <w:p w:rsidR="005C74C2" w:rsidRPr="007E4BC1" w:rsidRDefault="005C74C2" w:rsidP="007E4BC1">
      <w:pPr>
        <w:pStyle w:val="ListParagraph"/>
        <w:numPr>
          <w:ilvl w:val="0"/>
          <w:numId w:val="21"/>
        </w:numPr>
        <w:rPr>
          <w:rFonts w:ascii="Times New Roman" w:hAnsi="Times New Roman" w:cs="Times New Roman"/>
        </w:rPr>
      </w:pPr>
      <w:r w:rsidRPr="007E4BC1">
        <w:rPr>
          <w:rFonts w:ascii="Times New Roman" w:hAnsi="Times New Roman" w:cs="Times New Roman"/>
        </w:rPr>
        <w:t xml:space="preserve">When a subject access request is received by </w:t>
      </w:r>
      <w:r w:rsidR="00BF52FA" w:rsidRPr="007E4BC1">
        <w:rPr>
          <w:rFonts w:ascii="Times New Roman" w:hAnsi="Times New Roman" w:cs="Times New Roman"/>
        </w:rPr>
        <w:t>staff or volunteers covering any of the Data Subject Rights given below, the request must be immediately be reported to the Acquires’</w:t>
      </w:r>
      <w:r w:rsidR="00C149FF" w:rsidRPr="007E4BC1">
        <w:rPr>
          <w:rFonts w:ascii="Times New Roman" w:hAnsi="Times New Roman" w:cs="Times New Roman"/>
        </w:rPr>
        <w:t xml:space="preserve"> Data Protection Team</w:t>
      </w:r>
      <w:r w:rsidR="00BF52FA" w:rsidRPr="007E4BC1">
        <w:rPr>
          <w:rFonts w:ascii="Times New Roman" w:hAnsi="Times New Roman" w:cs="Times New Roman"/>
        </w:rPr>
        <w:t>. The GDPR provides following Rights for Individuals:</w:t>
      </w:r>
    </w:p>
    <w:p w:rsidR="00BF52FA" w:rsidRPr="007E4BC1" w:rsidRDefault="00BF52FA" w:rsidP="00BF52FA">
      <w:pPr>
        <w:pStyle w:val="ListParagraph"/>
        <w:numPr>
          <w:ilvl w:val="0"/>
          <w:numId w:val="9"/>
        </w:numPr>
        <w:rPr>
          <w:rFonts w:ascii="Times New Roman" w:hAnsi="Times New Roman" w:cs="Times New Roman"/>
        </w:rPr>
      </w:pPr>
      <w:r w:rsidRPr="007E4BC1">
        <w:rPr>
          <w:rFonts w:ascii="Times New Roman" w:hAnsi="Times New Roman" w:cs="Times New Roman"/>
        </w:rPr>
        <w:t>Right to be informed</w:t>
      </w:r>
    </w:p>
    <w:p w:rsidR="00BF52FA" w:rsidRPr="007E4BC1" w:rsidRDefault="00BF52FA" w:rsidP="00BF52FA">
      <w:pPr>
        <w:pStyle w:val="ListParagraph"/>
        <w:numPr>
          <w:ilvl w:val="0"/>
          <w:numId w:val="9"/>
        </w:numPr>
        <w:rPr>
          <w:rFonts w:ascii="Times New Roman" w:hAnsi="Times New Roman" w:cs="Times New Roman"/>
        </w:rPr>
      </w:pPr>
      <w:r w:rsidRPr="007E4BC1">
        <w:rPr>
          <w:rFonts w:ascii="Times New Roman" w:hAnsi="Times New Roman" w:cs="Times New Roman"/>
        </w:rPr>
        <w:t>Right of Access</w:t>
      </w:r>
    </w:p>
    <w:p w:rsidR="00BF52FA" w:rsidRPr="007E4BC1" w:rsidRDefault="00BF52FA" w:rsidP="00BF52FA">
      <w:pPr>
        <w:pStyle w:val="ListParagraph"/>
        <w:numPr>
          <w:ilvl w:val="0"/>
          <w:numId w:val="9"/>
        </w:numPr>
        <w:rPr>
          <w:rFonts w:ascii="Times New Roman" w:hAnsi="Times New Roman" w:cs="Times New Roman"/>
        </w:rPr>
      </w:pPr>
      <w:r w:rsidRPr="007E4BC1">
        <w:rPr>
          <w:rFonts w:ascii="Times New Roman" w:hAnsi="Times New Roman" w:cs="Times New Roman"/>
        </w:rPr>
        <w:t>Right to Rectification</w:t>
      </w:r>
    </w:p>
    <w:p w:rsidR="00BF52FA" w:rsidRPr="007E4BC1" w:rsidRDefault="00BF52FA" w:rsidP="00BF52FA">
      <w:pPr>
        <w:pStyle w:val="ListParagraph"/>
        <w:numPr>
          <w:ilvl w:val="0"/>
          <w:numId w:val="9"/>
        </w:numPr>
        <w:rPr>
          <w:rFonts w:ascii="Times New Roman" w:hAnsi="Times New Roman" w:cs="Times New Roman"/>
        </w:rPr>
      </w:pPr>
      <w:r w:rsidRPr="007E4BC1">
        <w:rPr>
          <w:rFonts w:ascii="Times New Roman" w:hAnsi="Times New Roman" w:cs="Times New Roman"/>
        </w:rPr>
        <w:lastRenderedPageBreak/>
        <w:t>Right to Erasure (forgotten)</w:t>
      </w:r>
    </w:p>
    <w:p w:rsidR="00BF52FA" w:rsidRPr="007E4BC1" w:rsidRDefault="00BF52FA" w:rsidP="00BF52FA">
      <w:pPr>
        <w:pStyle w:val="ListParagraph"/>
        <w:numPr>
          <w:ilvl w:val="0"/>
          <w:numId w:val="9"/>
        </w:numPr>
        <w:rPr>
          <w:rFonts w:ascii="Times New Roman" w:hAnsi="Times New Roman" w:cs="Times New Roman"/>
        </w:rPr>
      </w:pPr>
      <w:r w:rsidRPr="007E4BC1">
        <w:rPr>
          <w:rFonts w:ascii="Times New Roman" w:hAnsi="Times New Roman" w:cs="Times New Roman"/>
        </w:rPr>
        <w:t xml:space="preserve">Right to Restrict Processing </w:t>
      </w:r>
    </w:p>
    <w:p w:rsidR="00BF52FA" w:rsidRPr="007E4BC1" w:rsidRDefault="00405390" w:rsidP="00BF52FA">
      <w:pPr>
        <w:pStyle w:val="ListParagraph"/>
        <w:numPr>
          <w:ilvl w:val="0"/>
          <w:numId w:val="9"/>
        </w:numPr>
        <w:rPr>
          <w:rFonts w:ascii="Times New Roman" w:hAnsi="Times New Roman" w:cs="Times New Roman"/>
        </w:rPr>
      </w:pPr>
      <w:r w:rsidRPr="007E4BC1">
        <w:rPr>
          <w:rFonts w:ascii="Times New Roman" w:hAnsi="Times New Roman" w:cs="Times New Roman"/>
        </w:rPr>
        <w:t>Right to Data Portability</w:t>
      </w:r>
    </w:p>
    <w:p w:rsidR="00405390" w:rsidRPr="007E4BC1" w:rsidRDefault="00405390" w:rsidP="00BF52FA">
      <w:pPr>
        <w:pStyle w:val="ListParagraph"/>
        <w:numPr>
          <w:ilvl w:val="0"/>
          <w:numId w:val="9"/>
        </w:numPr>
        <w:rPr>
          <w:rFonts w:ascii="Times New Roman" w:hAnsi="Times New Roman" w:cs="Times New Roman"/>
        </w:rPr>
      </w:pPr>
      <w:r w:rsidRPr="007E4BC1">
        <w:rPr>
          <w:rFonts w:ascii="Times New Roman" w:hAnsi="Times New Roman" w:cs="Times New Roman"/>
        </w:rPr>
        <w:t>Right to object</w:t>
      </w:r>
    </w:p>
    <w:p w:rsidR="00405390" w:rsidRPr="007E4BC1" w:rsidRDefault="00405390" w:rsidP="00BF52FA">
      <w:pPr>
        <w:pStyle w:val="ListParagraph"/>
        <w:numPr>
          <w:ilvl w:val="0"/>
          <w:numId w:val="9"/>
        </w:numPr>
        <w:rPr>
          <w:rFonts w:ascii="Times New Roman" w:hAnsi="Times New Roman" w:cs="Times New Roman"/>
        </w:rPr>
      </w:pPr>
      <w:r w:rsidRPr="007E4BC1">
        <w:rPr>
          <w:rFonts w:ascii="Times New Roman" w:hAnsi="Times New Roman" w:cs="Times New Roman"/>
        </w:rPr>
        <w:t>Rights in Relation to Automatic Decision Making and Profiling</w:t>
      </w:r>
    </w:p>
    <w:p w:rsidR="00BF52FA" w:rsidRPr="007E4BC1" w:rsidRDefault="00BF52FA" w:rsidP="00405390">
      <w:pPr>
        <w:pStyle w:val="ListParagraph"/>
        <w:ind w:left="2160"/>
        <w:rPr>
          <w:rFonts w:ascii="Times New Roman" w:hAnsi="Times New Roman" w:cs="Times New Roman"/>
        </w:rPr>
      </w:pPr>
    </w:p>
    <w:p w:rsidR="00E65EB1" w:rsidRPr="007E4BC1" w:rsidRDefault="00E65EB1" w:rsidP="007E4BC1">
      <w:pPr>
        <w:pStyle w:val="ListParagraph"/>
        <w:numPr>
          <w:ilvl w:val="0"/>
          <w:numId w:val="21"/>
        </w:numPr>
        <w:rPr>
          <w:rFonts w:ascii="Times New Roman" w:hAnsi="Times New Roman" w:cs="Times New Roman"/>
        </w:rPr>
      </w:pPr>
      <w:r w:rsidRPr="007E4BC1">
        <w:rPr>
          <w:rFonts w:ascii="Times New Roman" w:hAnsi="Times New Roman" w:cs="Times New Roman"/>
        </w:rPr>
        <w:t xml:space="preserve">The request must be forwarded to </w:t>
      </w:r>
      <w:hyperlink r:id="rId9" w:history="1">
        <w:r w:rsidRPr="007E4BC1">
          <w:rPr>
            <w:rStyle w:val="Hyperlink"/>
            <w:rFonts w:ascii="Times New Roman" w:hAnsi="Times New Roman" w:cs="Times New Roman"/>
          </w:rPr>
          <w:t>ashka@acquire.io</w:t>
        </w:r>
      </w:hyperlink>
      <w:r w:rsidRPr="007E4BC1">
        <w:rPr>
          <w:rFonts w:ascii="Times New Roman" w:hAnsi="Times New Roman" w:cs="Times New Roman"/>
        </w:rPr>
        <w:t>. If the request was made over the phone then as much information as possible regarding what was requested must be typed into email and</w:t>
      </w:r>
      <w:r w:rsidR="00C149FF" w:rsidRPr="007E4BC1">
        <w:rPr>
          <w:rFonts w:ascii="Times New Roman" w:hAnsi="Times New Roman" w:cs="Times New Roman"/>
        </w:rPr>
        <w:t xml:space="preserve"> sent to Data Protection Team</w:t>
      </w:r>
      <w:r w:rsidRPr="007E4BC1">
        <w:rPr>
          <w:rFonts w:ascii="Times New Roman" w:hAnsi="Times New Roman" w:cs="Times New Roman"/>
        </w:rPr>
        <w:t xml:space="preserve"> Immediately. If the request is received in the postal letter, this can </w:t>
      </w:r>
      <w:r w:rsidR="00C149FF" w:rsidRPr="007E4BC1">
        <w:rPr>
          <w:rFonts w:ascii="Times New Roman" w:hAnsi="Times New Roman" w:cs="Times New Roman"/>
        </w:rPr>
        <w:t>either be scanned or</w:t>
      </w:r>
      <w:r w:rsidRPr="007E4BC1">
        <w:rPr>
          <w:rFonts w:ascii="Times New Roman" w:hAnsi="Times New Roman" w:cs="Times New Roman"/>
        </w:rPr>
        <w:t xml:space="preserve"> sent to the Data Protection </w:t>
      </w:r>
      <w:r w:rsidR="00C149FF" w:rsidRPr="007E4BC1">
        <w:rPr>
          <w:rFonts w:ascii="Times New Roman" w:hAnsi="Times New Roman" w:cs="Times New Roman"/>
        </w:rPr>
        <w:t>Team</w:t>
      </w:r>
      <w:r w:rsidRPr="007E4BC1">
        <w:rPr>
          <w:rFonts w:ascii="Times New Roman" w:hAnsi="Times New Roman" w:cs="Times New Roman"/>
        </w:rPr>
        <w:t xml:space="preserve"> by email</w:t>
      </w:r>
      <w:r w:rsidR="00C149FF" w:rsidRPr="007E4BC1">
        <w:rPr>
          <w:rFonts w:ascii="Times New Roman" w:hAnsi="Times New Roman" w:cs="Times New Roman"/>
        </w:rPr>
        <w:t>.</w:t>
      </w:r>
    </w:p>
    <w:p w:rsidR="00C149FF" w:rsidRPr="007E4BC1" w:rsidRDefault="00C149FF" w:rsidP="007E4BC1">
      <w:pPr>
        <w:pStyle w:val="ListParagraph"/>
        <w:numPr>
          <w:ilvl w:val="0"/>
          <w:numId w:val="21"/>
        </w:numPr>
        <w:rPr>
          <w:rFonts w:ascii="Times New Roman" w:hAnsi="Times New Roman" w:cs="Times New Roman"/>
        </w:rPr>
      </w:pPr>
      <w:r w:rsidRPr="007E4BC1">
        <w:rPr>
          <w:rFonts w:ascii="Times New Roman" w:hAnsi="Times New Roman" w:cs="Times New Roman"/>
        </w:rPr>
        <w:t>The Data Protection Team will process the request accordingly and respond to the Data Subject in line with the legislation. They may ask for input and/or provision of data from teams across the Acquire in order to ensure they have fully complied with the request. Due to the time limits for complying, teams requested to assist should treat such requests as a priority.</w:t>
      </w:r>
    </w:p>
    <w:p w:rsidR="00C149FF" w:rsidRPr="007E4BC1" w:rsidRDefault="00441BA2" w:rsidP="007E4BC1">
      <w:pPr>
        <w:pStyle w:val="ListParagraph"/>
        <w:numPr>
          <w:ilvl w:val="0"/>
          <w:numId w:val="21"/>
        </w:numPr>
        <w:rPr>
          <w:rFonts w:ascii="Times New Roman" w:hAnsi="Times New Roman" w:cs="Times New Roman"/>
        </w:rPr>
      </w:pPr>
      <w:r w:rsidRPr="007E4BC1">
        <w:rPr>
          <w:rFonts w:ascii="Times New Roman" w:hAnsi="Times New Roman" w:cs="Times New Roman"/>
        </w:rPr>
        <w:t>If there is uncertainty around whether it is a request please refer to Data Protection Team for advice.</w:t>
      </w:r>
    </w:p>
    <w:p w:rsidR="00441BA2" w:rsidRPr="007E4BC1" w:rsidRDefault="00441BA2" w:rsidP="007E4BC1">
      <w:pPr>
        <w:pStyle w:val="ListParagraph"/>
        <w:numPr>
          <w:ilvl w:val="0"/>
          <w:numId w:val="21"/>
        </w:numPr>
        <w:rPr>
          <w:rFonts w:ascii="Times New Roman" w:hAnsi="Times New Roman" w:cs="Times New Roman"/>
        </w:rPr>
      </w:pPr>
      <w:r w:rsidRPr="007E4BC1">
        <w:rPr>
          <w:rFonts w:ascii="Times New Roman" w:hAnsi="Times New Roman" w:cs="Times New Roman"/>
        </w:rPr>
        <w:t>Before processing a request, the requestor’s identity must be verified with suitable valid Identity Proof along with other proof of address.</w:t>
      </w:r>
    </w:p>
    <w:p w:rsidR="002446C5" w:rsidRPr="007E4BC1" w:rsidRDefault="002446C5" w:rsidP="002446C5">
      <w:pPr>
        <w:rPr>
          <w:rFonts w:ascii="Times New Roman" w:hAnsi="Times New Roman" w:cs="Times New Roman"/>
        </w:rPr>
      </w:pPr>
    </w:p>
    <w:p w:rsidR="002446C5" w:rsidRPr="007E4BC1" w:rsidRDefault="002446C5" w:rsidP="002446C5">
      <w:pPr>
        <w:pStyle w:val="ListParagraph"/>
        <w:numPr>
          <w:ilvl w:val="0"/>
          <w:numId w:val="1"/>
        </w:numPr>
        <w:rPr>
          <w:rFonts w:ascii="Times New Roman" w:hAnsi="Times New Roman" w:cs="Times New Roman"/>
          <w:b/>
          <w:sz w:val="24"/>
          <w:szCs w:val="24"/>
        </w:rPr>
      </w:pPr>
      <w:r w:rsidRPr="007E4BC1">
        <w:rPr>
          <w:rFonts w:ascii="Times New Roman" w:hAnsi="Times New Roman" w:cs="Times New Roman"/>
          <w:b/>
          <w:sz w:val="24"/>
          <w:szCs w:val="24"/>
        </w:rPr>
        <w:t>Associated documents and policies</w:t>
      </w:r>
    </w:p>
    <w:p w:rsidR="002446C5" w:rsidRPr="007E4BC1" w:rsidRDefault="002446C5" w:rsidP="002446C5">
      <w:pPr>
        <w:ind w:left="720"/>
        <w:rPr>
          <w:rFonts w:ascii="Times New Roman" w:hAnsi="Times New Roman" w:cs="Times New Roman"/>
        </w:rPr>
      </w:pPr>
      <w:r w:rsidRPr="007E4BC1">
        <w:rPr>
          <w:rFonts w:ascii="Times New Roman" w:hAnsi="Times New Roman" w:cs="Times New Roman"/>
        </w:rPr>
        <w:t>This policy is to be read in conjunction with the related policies;</w:t>
      </w:r>
    </w:p>
    <w:p w:rsidR="002446C5" w:rsidRPr="007E4BC1" w:rsidRDefault="002446C5" w:rsidP="002446C5">
      <w:pPr>
        <w:pStyle w:val="ListParagraph"/>
        <w:numPr>
          <w:ilvl w:val="0"/>
          <w:numId w:val="10"/>
        </w:numPr>
        <w:rPr>
          <w:rFonts w:ascii="Times New Roman" w:hAnsi="Times New Roman" w:cs="Times New Roman"/>
        </w:rPr>
      </w:pPr>
      <w:r w:rsidRPr="007E4BC1">
        <w:rPr>
          <w:rFonts w:ascii="Times New Roman" w:hAnsi="Times New Roman" w:cs="Times New Roman"/>
        </w:rPr>
        <w:t>Data Protection Policy</w:t>
      </w:r>
    </w:p>
    <w:p w:rsidR="002446C5" w:rsidRPr="007E4BC1" w:rsidRDefault="002446C5" w:rsidP="002446C5">
      <w:pPr>
        <w:rPr>
          <w:rFonts w:ascii="Times New Roman" w:hAnsi="Times New Roman" w:cs="Times New Roman"/>
          <w:b/>
          <w:sz w:val="24"/>
          <w:szCs w:val="24"/>
        </w:rPr>
      </w:pPr>
    </w:p>
    <w:p w:rsidR="002446C5" w:rsidRDefault="002446C5" w:rsidP="002446C5">
      <w:pPr>
        <w:pStyle w:val="ListParagraph"/>
        <w:numPr>
          <w:ilvl w:val="0"/>
          <w:numId w:val="1"/>
        </w:numPr>
        <w:rPr>
          <w:rFonts w:ascii="Times New Roman" w:hAnsi="Times New Roman" w:cs="Times New Roman"/>
          <w:b/>
          <w:sz w:val="24"/>
          <w:szCs w:val="24"/>
        </w:rPr>
      </w:pPr>
      <w:r w:rsidRPr="007E4BC1">
        <w:rPr>
          <w:rFonts w:ascii="Times New Roman" w:hAnsi="Times New Roman" w:cs="Times New Roman"/>
          <w:b/>
          <w:sz w:val="24"/>
          <w:szCs w:val="24"/>
        </w:rPr>
        <w:t>Definitions</w:t>
      </w:r>
    </w:p>
    <w:p w:rsidR="007E4BC1" w:rsidRPr="007E4BC1" w:rsidRDefault="007E4BC1" w:rsidP="007E4BC1">
      <w:pPr>
        <w:pStyle w:val="ListParagraph"/>
        <w:rPr>
          <w:rFonts w:ascii="Times New Roman" w:hAnsi="Times New Roman" w:cs="Times New Roman"/>
          <w:b/>
          <w:sz w:val="24"/>
          <w:szCs w:val="24"/>
        </w:rPr>
      </w:pPr>
    </w:p>
    <w:p w:rsidR="002446C5" w:rsidRPr="007E4BC1" w:rsidRDefault="002446C5" w:rsidP="002446C5">
      <w:pPr>
        <w:pStyle w:val="ListParagraph"/>
        <w:rPr>
          <w:rFonts w:ascii="Times New Roman" w:hAnsi="Times New Roman" w:cs="Times New Roman"/>
        </w:rPr>
      </w:pPr>
      <w:r w:rsidRPr="007E4BC1">
        <w:rPr>
          <w:rFonts w:ascii="Times New Roman" w:hAnsi="Times New Roman" w:cs="Times New Roman"/>
          <w:b/>
        </w:rPr>
        <w:t>Data Subject:</w:t>
      </w:r>
      <w:r w:rsidRPr="007E4BC1">
        <w:rPr>
          <w:rFonts w:ascii="Times New Roman" w:hAnsi="Times New Roman" w:cs="Times New Roman"/>
        </w:rPr>
        <w:t xml:space="preserve"> An individual who is the subject of personal data and whom particular personal data is about.</w:t>
      </w:r>
    </w:p>
    <w:p w:rsidR="002446C5" w:rsidRPr="007E4BC1" w:rsidRDefault="002446C5" w:rsidP="002446C5">
      <w:pPr>
        <w:pStyle w:val="ListParagraph"/>
        <w:rPr>
          <w:rFonts w:ascii="Times New Roman" w:hAnsi="Times New Roman" w:cs="Times New Roman"/>
        </w:rPr>
      </w:pPr>
    </w:p>
    <w:p w:rsidR="002446C5" w:rsidRPr="007E4BC1" w:rsidRDefault="002446C5" w:rsidP="002446C5">
      <w:pPr>
        <w:pStyle w:val="ListParagraph"/>
        <w:rPr>
          <w:rFonts w:ascii="Times New Roman" w:hAnsi="Times New Roman" w:cs="Times New Roman"/>
        </w:rPr>
      </w:pPr>
      <w:r w:rsidRPr="007E4BC1">
        <w:rPr>
          <w:rFonts w:ascii="Times New Roman" w:hAnsi="Times New Roman" w:cs="Times New Roman"/>
          <w:b/>
        </w:rPr>
        <w:t>Personal Data:</w:t>
      </w:r>
      <w:r w:rsidRPr="007E4BC1">
        <w:rPr>
          <w:rFonts w:ascii="Times New Roman" w:hAnsi="Times New Roman" w:cs="Times New Roman"/>
        </w:rPr>
        <w:t xml:space="preserve"> ‘Personal data’ means any information relating to an identified or identifiable person (‘data subject’).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w:t>
      </w:r>
    </w:p>
    <w:p w:rsidR="002446C5" w:rsidRPr="007E4BC1" w:rsidRDefault="002446C5" w:rsidP="002446C5">
      <w:pPr>
        <w:pStyle w:val="ListParagraph"/>
        <w:rPr>
          <w:rFonts w:ascii="Times New Roman" w:hAnsi="Times New Roman" w:cs="Times New Roman"/>
        </w:rPr>
      </w:pPr>
    </w:p>
    <w:p w:rsidR="002446C5" w:rsidRPr="007E4BC1" w:rsidRDefault="002446C5" w:rsidP="002446C5">
      <w:pPr>
        <w:pStyle w:val="ListParagraph"/>
        <w:rPr>
          <w:rFonts w:ascii="Times New Roman" w:hAnsi="Times New Roman" w:cs="Times New Roman"/>
        </w:rPr>
      </w:pPr>
      <w:r w:rsidRPr="007E4BC1">
        <w:rPr>
          <w:rFonts w:ascii="Times New Roman" w:hAnsi="Times New Roman" w:cs="Times New Roman"/>
          <w:b/>
        </w:rPr>
        <w:t>GDPR:</w:t>
      </w:r>
      <w:r w:rsidRPr="007E4BC1">
        <w:rPr>
          <w:rFonts w:ascii="Times New Roman" w:hAnsi="Times New Roman" w:cs="Times New Roman"/>
        </w:rPr>
        <w:t xml:space="preserve"> General Data Protection Regulation is a regulation by the European Parliament intended to strengthen and unify data protection for individuals.</w:t>
      </w:r>
    </w:p>
    <w:p w:rsidR="002446C5" w:rsidRPr="007E4BC1" w:rsidRDefault="002446C5" w:rsidP="002446C5">
      <w:pPr>
        <w:pStyle w:val="ListParagraph"/>
        <w:rPr>
          <w:rFonts w:ascii="Times New Roman" w:hAnsi="Times New Roman" w:cs="Times New Roman"/>
        </w:rPr>
      </w:pPr>
    </w:p>
    <w:p w:rsidR="002446C5" w:rsidRPr="007E4BC1" w:rsidRDefault="002446C5" w:rsidP="002446C5">
      <w:pPr>
        <w:pStyle w:val="ListParagraph"/>
        <w:rPr>
          <w:rFonts w:ascii="Times New Roman" w:hAnsi="Times New Roman" w:cs="Times New Roman"/>
        </w:rPr>
      </w:pPr>
      <w:r w:rsidRPr="007E4BC1">
        <w:rPr>
          <w:rFonts w:ascii="Times New Roman" w:hAnsi="Times New Roman" w:cs="Times New Roman"/>
          <w:b/>
        </w:rPr>
        <w:lastRenderedPageBreak/>
        <w:t>Processing:</w:t>
      </w:r>
      <w:r w:rsidRPr="007E4BC1">
        <w:rPr>
          <w:rFonts w:ascii="Times New Roman" w:hAnsi="Times New Roman" w:cs="Times New Roman"/>
        </w:rPr>
        <w:t xml:space="preserve"> Obtaining, recording or holding the information or data or carrying out any operation or set of operations on the information or data, including – 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2446C5" w:rsidRPr="007E4BC1" w:rsidRDefault="002446C5" w:rsidP="002446C5">
      <w:pPr>
        <w:pStyle w:val="ListParagraph"/>
        <w:rPr>
          <w:rFonts w:ascii="Times New Roman" w:hAnsi="Times New Roman" w:cs="Times New Roman"/>
        </w:rPr>
      </w:pPr>
    </w:p>
    <w:p w:rsidR="002446C5" w:rsidRPr="007E4BC1" w:rsidRDefault="002446C5" w:rsidP="007E4BC1">
      <w:pPr>
        <w:ind w:left="720"/>
        <w:rPr>
          <w:rFonts w:ascii="Times New Roman" w:hAnsi="Times New Roman" w:cs="Times New Roman"/>
        </w:rPr>
      </w:pPr>
      <w:r w:rsidRPr="007E4BC1">
        <w:rPr>
          <w:rFonts w:ascii="Times New Roman" w:hAnsi="Times New Roman" w:cs="Times New Roman"/>
          <w:b/>
        </w:rPr>
        <w:t xml:space="preserve">Legal Basis for Processing: </w:t>
      </w:r>
      <w:r w:rsidRPr="007E4BC1">
        <w:rPr>
          <w:rFonts w:ascii="Times New Roman" w:hAnsi="Times New Roman" w:cs="Times New Roman"/>
        </w:rPr>
        <w:t xml:space="preserve">Processing will only be lawful if at least one of the following applies: </w:t>
      </w:r>
    </w:p>
    <w:p w:rsidR="002446C5" w:rsidRPr="007E4BC1" w:rsidRDefault="002446C5" w:rsidP="002446C5">
      <w:pPr>
        <w:pStyle w:val="ListParagraph"/>
        <w:numPr>
          <w:ilvl w:val="0"/>
          <w:numId w:val="11"/>
        </w:numPr>
        <w:rPr>
          <w:rFonts w:ascii="Times New Roman" w:hAnsi="Times New Roman" w:cs="Times New Roman"/>
        </w:rPr>
      </w:pPr>
      <w:r w:rsidRPr="007E4BC1">
        <w:rPr>
          <w:rFonts w:ascii="Times New Roman" w:hAnsi="Times New Roman" w:cs="Times New Roman"/>
        </w:rPr>
        <w:t xml:space="preserve"> the data subject has given consent to the processing of their personal data for one or more specific purposes </w:t>
      </w:r>
    </w:p>
    <w:p w:rsidR="002446C5" w:rsidRPr="007E4BC1" w:rsidRDefault="002446C5" w:rsidP="002446C5">
      <w:pPr>
        <w:pStyle w:val="ListParagraph"/>
        <w:numPr>
          <w:ilvl w:val="0"/>
          <w:numId w:val="11"/>
        </w:numPr>
        <w:rPr>
          <w:rFonts w:ascii="Times New Roman" w:hAnsi="Times New Roman" w:cs="Times New Roman"/>
        </w:rPr>
      </w:pPr>
      <w:r w:rsidRPr="007E4BC1">
        <w:rPr>
          <w:rFonts w:ascii="Times New Roman" w:hAnsi="Times New Roman" w:cs="Times New Roman"/>
        </w:rPr>
        <w:t>processing is necessary for the performance of a contract with the data subject or in order to take steps to enter a contract</w:t>
      </w:r>
    </w:p>
    <w:p w:rsidR="002446C5" w:rsidRPr="007E4BC1" w:rsidRDefault="002446C5" w:rsidP="002446C5">
      <w:pPr>
        <w:pStyle w:val="ListParagraph"/>
        <w:numPr>
          <w:ilvl w:val="0"/>
          <w:numId w:val="11"/>
        </w:numPr>
        <w:rPr>
          <w:rFonts w:ascii="Times New Roman" w:hAnsi="Times New Roman" w:cs="Times New Roman"/>
        </w:rPr>
      </w:pPr>
      <w:r w:rsidRPr="007E4BC1">
        <w:rPr>
          <w:rFonts w:ascii="Times New Roman" w:hAnsi="Times New Roman" w:cs="Times New Roman"/>
        </w:rPr>
        <w:t xml:space="preserve">processing is necessary to comply with a legal obligation </w:t>
      </w:r>
    </w:p>
    <w:p w:rsidR="002446C5" w:rsidRPr="007E4BC1" w:rsidRDefault="002446C5" w:rsidP="002446C5">
      <w:pPr>
        <w:pStyle w:val="ListParagraph"/>
        <w:numPr>
          <w:ilvl w:val="0"/>
          <w:numId w:val="11"/>
        </w:numPr>
        <w:rPr>
          <w:rFonts w:ascii="Times New Roman" w:hAnsi="Times New Roman" w:cs="Times New Roman"/>
        </w:rPr>
      </w:pPr>
      <w:r w:rsidRPr="007E4BC1">
        <w:rPr>
          <w:rFonts w:ascii="Times New Roman" w:hAnsi="Times New Roman" w:cs="Times New Roman"/>
        </w:rPr>
        <w:t>processing is necessary to protect the vital interests of the data subject</w:t>
      </w:r>
    </w:p>
    <w:p w:rsidR="002446C5" w:rsidRPr="007E4BC1" w:rsidRDefault="002446C5" w:rsidP="002446C5">
      <w:pPr>
        <w:pStyle w:val="ListParagraph"/>
        <w:numPr>
          <w:ilvl w:val="0"/>
          <w:numId w:val="11"/>
        </w:numPr>
        <w:rPr>
          <w:rFonts w:ascii="Times New Roman" w:hAnsi="Times New Roman" w:cs="Times New Roman"/>
        </w:rPr>
      </w:pPr>
      <w:r w:rsidRPr="007E4BC1">
        <w:rPr>
          <w:rFonts w:ascii="Times New Roman" w:hAnsi="Times New Roman" w:cs="Times New Roman"/>
        </w:rPr>
        <w:t xml:space="preserve">processing is necessary for the performance of a task carried out in the public interest or in the exercise of official authority vested in the controller </w:t>
      </w:r>
    </w:p>
    <w:p w:rsidR="002446C5" w:rsidRPr="007E4BC1" w:rsidRDefault="002446C5" w:rsidP="002446C5">
      <w:pPr>
        <w:pStyle w:val="ListParagraph"/>
        <w:numPr>
          <w:ilvl w:val="0"/>
          <w:numId w:val="11"/>
        </w:numPr>
        <w:rPr>
          <w:rFonts w:ascii="Times New Roman" w:hAnsi="Times New Roman" w:cs="Times New Roman"/>
        </w:rPr>
      </w:pPr>
      <w:r w:rsidRPr="007E4BC1">
        <w:rPr>
          <w:rFonts w:ascii="Times New Roman" w:hAnsi="Times New Roman" w:cs="Times New Roman"/>
        </w:rPr>
        <w:t>processing is necessary for the purposes of the legitimate interests pursued by the controller or by a third party, except where such interests are overridden by the of the data subject</w:t>
      </w:r>
    </w:p>
    <w:p w:rsidR="002446C5" w:rsidRPr="007E4BC1" w:rsidRDefault="002446C5" w:rsidP="002446C5">
      <w:pPr>
        <w:pStyle w:val="ListParagraph"/>
        <w:ind w:left="1440"/>
        <w:rPr>
          <w:rFonts w:ascii="Times New Roman" w:hAnsi="Times New Roman" w:cs="Times New Roman"/>
        </w:rPr>
      </w:pPr>
    </w:p>
    <w:p w:rsidR="00410E61" w:rsidRPr="007E4BC1" w:rsidRDefault="00410E61" w:rsidP="00410E61">
      <w:pPr>
        <w:rPr>
          <w:rFonts w:ascii="Times New Roman" w:hAnsi="Times New Roman" w:cs="Times New Roman"/>
        </w:rPr>
      </w:pPr>
    </w:p>
    <w:p w:rsidR="00410E61" w:rsidRPr="007E4BC1" w:rsidRDefault="00410E61" w:rsidP="00410E61">
      <w:pPr>
        <w:rPr>
          <w:rFonts w:ascii="Times New Roman" w:hAnsi="Times New Roman" w:cs="Times New Roman"/>
        </w:rPr>
      </w:pPr>
    </w:p>
    <w:p w:rsidR="00BF52FA" w:rsidRPr="007E4BC1" w:rsidRDefault="00BF52FA" w:rsidP="00BF52FA">
      <w:pPr>
        <w:pStyle w:val="ListParagraph"/>
        <w:ind w:left="1440"/>
        <w:rPr>
          <w:rFonts w:ascii="Times New Roman" w:hAnsi="Times New Roman" w:cs="Times New Roman"/>
        </w:rPr>
      </w:pPr>
    </w:p>
    <w:p w:rsidR="00BF52FA" w:rsidRPr="007E4BC1" w:rsidRDefault="00BF52FA" w:rsidP="00BF52FA">
      <w:pPr>
        <w:pStyle w:val="ListParagraph"/>
        <w:ind w:left="1440"/>
        <w:rPr>
          <w:rFonts w:ascii="Times New Roman" w:hAnsi="Times New Roman" w:cs="Times New Roman"/>
        </w:rPr>
      </w:pPr>
    </w:p>
    <w:p w:rsidR="007F491D" w:rsidRPr="007E4BC1" w:rsidRDefault="007F491D" w:rsidP="002377F6">
      <w:pPr>
        <w:ind w:left="360"/>
        <w:rPr>
          <w:rFonts w:ascii="Times New Roman" w:hAnsi="Times New Roman" w:cs="Times New Roman"/>
        </w:rPr>
      </w:pPr>
    </w:p>
    <w:p w:rsidR="00744C4B" w:rsidRPr="007E4BC1" w:rsidRDefault="00744C4B" w:rsidP="007C2C67">
      <w:pPr>
        <w:pStyle w:val="ListParagraph"/>
        <w:rPr>
          <w:rFonts w:ascii="Times New Roman" w:hAnsi="Times New Roman" w:cs="Times New Roman"/>
        </w:rPr>
      </w:pPr>
    </w:p>
    <w:p w:rsidR="007C2C67" w:rsidRDefault="007C2C67"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Default="007E4BC1" w:rsidP="007014B2">
      <w:pPr>
        <w:pStyle w:val="ListParagraph"/>
        <w:rPr>
          <w:rFonts w:ascii="Times New Roman" w:hAnsi="Times New Roman" w:cs="Times New Roman"/>
        </w:rPr>
      </w:pPr>
    </w:p>
    <w:p w:rsidR="007E4BC1" w:rsidRPr="007E4BC1" w:rsidRDefault="007E4BC1" w:rsidP="007014B2">
      <w:pPr>
        <w:pStyle w:val="ListParagraph"/>
        <w:rPr>
          <w:rFonts w:ascii="Times New Roman" w:hAnsi="Times New Roman" w:cs="Times New Roman"/>
        </w:rPr>
      </w:pPr>
    </w:p>
    <w:p w:rsidR="00CF11B8" w:rsidRPr="007E4BC1" w:rsidRDefault="00CF11B8" w:rsidP="00CF11B8">
      <w:pPr>
        <w:rPr>
          <w:rFonts w:ascii="Times New Roman" w:hAnsi="Times New Roman" w:cs="Times New Roman"/>
        </w:rPr>
      </w:pPr>
    </w:p>
    <w:p w:rsidR="004918D5" w:rsidRPr="007E4BC1" w:rsidRDefault="004918D5" w:rsidP="004918D5">
      <w:pPr>
        <w:rPr>
          <w:rFonts w:ascii="Times New Roman" w:hAnsi="Times New Roman" w:cs="Times New Roman"/>
          <w:b/>
        </w:rPr>
      </w:pPr>
      <w:r w:rsidRPr="007E4BC1">
        <w:rPr>
          <w:rFonts w:ascii="Times New Roman" w:hAnsi="Times New Roman" w:cs="Times New Roman"/>
          <w:b/>
        </w:rPr>
        <w:lastRenderedPageBreak/>
        <w:t xml:space="preserve">Appendix 1 – Rights of Data Subjects: </w:t>
      </w:r>
    </w:p>
    <w:p w:rsidR="004918D5" w:rsidRPr="007E4BC1" w:rsidRDefault="004918D5" w:rsidP="004918D5">
      <w:pPr>
        <w:spacing w:after="0" w:line="240" w:lineRule="auto"/>
        <w:rPr>
          <w:rFonts w:ascii="Times New Roman" w:hAnsi="Times New Roman" w:cs="Times New Roman"/>
          <w:b/>
        </w:rPr>
      </w:pPr>
      <w:r w:rsidRPr="007E4BC1">
        <w:rPr>
          <w:rFonts w:ascii="Times New Roman" w:hAnsi="Times New Roman" w:cs="Times New Roman"/>
          <w:b/>
        </w:rPr>
        <w:t xml:space="preserve">Right of Access (Also known as a Subject Access Request) </w:t>
      </w:r>
    </w:p>
    <w:p w:rsidR="004918D5" w:rsidRPr="007E4BC1" w:rsidRDefault="004918D5" w:rsidP="004918D5">
      <w:pPr>
        <w:spacing w:after="0" w:line="240" w:lineRule="auto"/>
        <w:rPr>
          <w:rFonts w:ascii="Times New Roman" w:hAnsi="Times New Roman" w:cs="Times New Roman"/>
        </w:rPr>
      </w:pPr>
      <w:r w:rsidRPr="007E4BC1">
        <w:rPr>
          <w:rFonts w:ascii="Times New Roman" w:hAnsi="Times New Roman" w:cs="Times New Roman"/>
        </w:rPr>
        <w:t xml:space="preserve">Data Subjects have the Right to obtain: </w:t>
      </w:r>
    </w:p>
    <w:p w:rsidR="004918D5" w:rsidRPr="007E4BC1" w:rsidRDefault="004918D5" w:rsidP="004918D5">
      <w:pPr>
        <w:pStyle w:val="ListParagraph"/>
        <w:numPr>
          <w:ilvl w:val="0"/>
          <w:numId w:val="10"/>
        </w:numPr>
        <w:spacing w:after="0" w:line="240" w:lineRule="auto"/>
        <w:ind w:left="360" w:firstLine="0"/>
        <w:rPr>
          <w:rFonts w:ascii="Times New Roman" w:hAnsi="Times New Roman" w:cs="Times New Roman"/>
        </w:rPr>
      </w:pPr>
      <w:r w:rsidRPr="007E4BC1">
        <w:rPr>
          <w:rFonts w:ascii="Times New Roman" w:hAnsi="Times New Roman" w:cs="Times New Roman"/>
        </w:rPr>
        <w:t xml:space="preserve">Confirmation that their data is being processed </w:t>
      </w:r>
    </w:p>
    <w:p w:rsidR="004918D5" w:rsidRPr="007E4BC1" w:rsidRDefault="004918D5" w:rsidP="004918D5">
      <w:pPr>
        <w:pStyle w:val="ListParagraph"/>
        <w:numPr>
          <w:ilvl w:val="0"/>
          <w:numId w:val="10"/>
        </w:numPr>
        <w:spacing w:after="0" w:line="240" w:lineRule="auto"/>
        <w:ind w:left="360" w:firstLine="0"/>
        <w:rPr>
          <w:rFonts w:ascii="Times New Roman" w:hAnsi="Times New Roman" w:cs="Times New Roman"/>
        </w:rPr>
      </w:pPr>
      <w:r w:rsidRPr="007E4BC1">
        <w:rPr>
          <w:rFonts w:ascii="Times New Roman" w:hAnsi="Times New Roman" w:cs="Times New Roman"/>
        </w:rPr>
        <w:t xml:space="preserve">Access to their personal data and </w:t>
      </w:r>
    </w:p>
    <w:p w:rsidR="004918D5" w:rsidRPr="007E4BC1" w:rsidRDefault="004918D5" w:rsidP="004918D5">
      <w:pPr>
        <w:pStyle w:val="ListParagraph"/>
        <w:numPr>
          <w:ilvl w:val="0"/>
          <w:numId w:val="10"/>
        </w:numPr>
        <w:spacing w:after="0" w:line="240" w:lineRule="auto"/>
        <w:ind w:left="360" w:firstLine="0"/>
        <w:rPr>
          <w:rFonts w:ascii="Times New Roman" w:hAnsi="Times New Roman" w:cs="Times New Roman"/>
        </w:rPr>
      </w:pPr>
      <w:r w:rsidRPr="007E4BC1">
        <w:rPr>
          <w:rFonts w:ascii="Times New Roman" w:hAnsi="Times New Roman" w:cs="Times New Roman"/>
        </w:rPr>
        <w:t xml:space="preserve">Other supplementary information   </w:t>
      </w:r>
    </w:p>
    <w:p w:rsidR="004918D5" w:rsidRPr="007E4BC1" w:rsidRDefault="004918D5" w:rsidP="004918D5">
      <w:pPr>
        <w:rPr>
          <w:rFonts w:ascii="Times New Roman" w:hAnsi="Times New Roman" w:cs="Times New Roman"/>
          <w:b/>
        </w:rPr>
      </w:pPr>
      <w:r w:rsidRPr="007E4BC1">
        <w:rPr>
          <w:rFonts w:ascii="Times New Roman" w:hAnsi="Times New Roman" w:cs="Times New Roman"/>
          <w:b/>
        </w:rPr>
        <w:t xml:space="preserve">Right of access requests must be responded to within one month. </w:t>
      </w: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b/>
        </w:rPr>
        <w:t xml:space="preserve">Right to Rectification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Data Subjects are entitled to have their personal data rectified if it is inaccurate or incomplete. If the information in question has been disclosed to a third party the Data Controller must inform them of the request for rectification where possible. The Data Subject is also entitled to be informed of the third parties to whom the data has been disclosed, where appropriate.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 </w:t>
      </w: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b/>
        </w:rPr>
        <w:t xml:space="preserve">Rights to rectification must be responded to within one month. </w:t>
      </w:r>
    </w:p>
    <w:p w:rsidR="004918D5" w:rsidRPr="007E4BC1" w:rsidRDefault="004918D5" w:rsidP="004918D5">
      <w:pPr>
        <w:spacing w:after="0"/>
        <w:rPr>
          <w:rFonts w:ascii="Times New Roman" w:hAnsi="Times New Roman" w:cs="Times New Roman"/>
          <w:b/>
        </w:rPr>
      </w:pP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b/>
        </w:rPr>
        <w:t xml:space="preserve">Right to Erasure </w:t>
      </w: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rPr>
        <w:t xml:space="preserve">This Right is also known as the ‘Right to be </w:t>
      </w:r>
      <w:proofErr w:type="gramStart"/>
      <w:r w:rsidRPr="007E4BC1">
        <w:rPr>
          <w:rFonts w:ascii="Times New Roman" w:hAnsi="Times New Roman" w:cs="Times New Roman"/>
        </w:rPr>
        <w:t>Forgotten</w:t>
      </w:r>
      <w:proofErr w:type="gramEnd"/>
      <w:r w:rsidRPr="007E4BC1">
        <w:rPr>
          <w:rFonts w:ascii="Times New Roman" w:hAnsi="Times New Roman" w:cs="Times New Roman"/>
        </w:rPr>
        <w:t xml:space="preserve">’. It enables Data </w:t>
      </w:r>
      <w:r w:rsidR="00704B1E" w:rsidRPr="007E4BC1">
        <w:rPr>
          <w:rFonts w:ascii="Times New Roman" w:hAnsi="Times New Roman" w:cs="Times New Roman"/>
        </w:rPr>
        <w:t>Subjects to</w:t>
      </w:r>
      <w:r w:rsidRPr="007E4BC1">
        <w:rPr>
          <w:rFonts w:ascii="Times New Roman" w:hAnsi="Times New Roman" w:cs="Times New Roman"/>
        </w:rPr>
        <w:t xml:space="preserve"> request the deletion or removal of personal data where there is no compelling reason for its continued processing by the Data Controller.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 The Right to Erasure applies in the following circumstances: </w:t>
      </w:r>
    </w:p>
    <w:p w:rsidR="004918D5" w:rsidRPr="007E4BC1" w:rsidRDefault="004918D5" w:rsidP="004918D5">
      <w:pPr>
        <w:pStyle w:val="ListParagraph"/>
        <w:numPr>
          <w:ilvl w:val="2"/>
          <w:numId w:val="14"/>
        </w:numPr>
        <w:tabs>
          <w:tab w:val="left" w:pos="810"/>
        </w:tabs>
        <w:spacing w:after="0"/>
        <w:ind w:left="720"/>
        <w:rPr>
          <w:rFonts w:ascii="Times New Roman" w:hAnsi="Times New Roman" w:cs="Times New Roman"/>
        </w:rPr>
      </w:pPr>
      <w:r w:rsidRPr="007E4BC1">
        <w:rPr>
          <w:rFonts w:ascii="Times New Roman" w:hAnsi="Times New Roman" w:cs="Times New Roman"/>
        </w:rPr>
        <w:t xml:space="preserve">The personal data is no longer necessary in relation to the purpose for which it was originally collected </w:t>
      </w:r>
    </w:p>
    <w:p w:rsidR="004918D5" w:rsidRPr="007E4BC1" w:rsidRDefault="004918D5" w:rsidP="004918D5">
      <w:pPr>
        <w:pStyle w:val="ListParagraph"/>
        <w:numPr>
          <w:ilvl w:val="2"/>
          <w:numId w:val="14"/>
        </w:numPr>
        <w:tabs>
          <w:tab w:val="left" w:pos="810"/>
        </w:tabs>
        <w:spacing w:after="0"/>
        <w:ind w:left="720"/>
        <w:rPr>
          <w:rFonts w:ascii="Times New Roman" w:hAnsi="Times New Roman" w:cs="Times New Roman"/>
        </w:rPr>
      </w:pPr>
      <w:r w:rsidRPr="007E4BC1">
        <w:rPr>
          <w:rFonts w:ascii="Times New Roman" w:hAnsi="Times New Roman" w:cs="Times New Roman"/>
        </w:rPr>
        <w:t xml:space="preserve">The processing was based on consent, and the Data Subject has now withdrawn their consent </w:t>
      </w:r>
    </w:p>
    <w:p w:rsidR="004918D5" w:rsidRPr="007E4BC1" w:rsidRDefault="004918D5" w:rsidP="004918D5">
      <w:pPr>
        <w:pStyle w:val="ListParagraph"/>
        <w:numPr>
          <w:ilvl w:val="2"/>
          <w:numId w:val="14"/>
        </w:numPr>
        <w:tabs>
          <w:tab w:val="left" w:pos="810"/>
        </w:tabs>
        <w:spacing w:after="0"/>
        <w:ind w:left="720"/>
        <w:rPr>
          <w:rFonts w:ascii="Times New Roman" w:hAnsi="Times New Roman" w:cs="Times New Roman"/>
        </w:rPr>
      </w:pPr>
      <w:r w:rsidRPr="007E4BC1">
        <w:rPr>
          <w:rFonts w:ascii="Times New Roman" w:hAnsi="Times New Roman" w:cs="Times New Roman"/>
        </w:rPr>
        <w:t xml:space="preserve">The Data Subject objects to processing and there is no overriding legitimate interest of the Data Controller  </w:t>
      </w:r>
    </w:p>
    <w:p w:rsidR="004918D5" w:rsidRPr="007E4BC1" w:rsidRDefault="004918D5" w:rsidP="004918D5">
      <w:pPr>
        <w:pStyle w:val="ListParagraph"/>
        <w:numPr>
          <w:ilvl w:val="2"/>
          <w:numId w:val="14"/>
        </w:numPr>
        <w:tabs>
          <w:tab w:val="left" w:pos="810"/>
        </w:tabs>
        <w:spacing w:after="0"/>
        <w:ind w:left="720"/>
        <w:rPr>
          <w:rFonts w:ascii="Times New Roman" w:hAnsi="Times New Roman" w:cs="Times New Roman"/>
        </w:rPr>
      </w:pPr>
      <w:r w:rsidRPr="007E4BC1">
        <w:rPr>
          <w:rFonts w:ascii="Times New Roman" w:hAnsi="Times New Roman" w:cs="Times New Roman"/>
        </w:rPr>
        <w:t>The data was being unlawfully processed</w:t>
      </w:r>
    </w:p>
    <w:p w:rsidR="004918D5" w:rsidRPr="007E4BC1" w:rsidRDefault="004918D5" w:rsidP="004918D5">
      <w:pPr>
        <w:pStyle w:val="ListParagraph"/>
        <w:numPr>
          <w:ilvl w:val="2"/>
          <w:numId w:val="14"/>
        </w:numPr>
        <w:tabs>
          <w:tab w:val="left" w:pos="810"/>
        </w:tabs>
        <w:spacing w:after="0"/>
        <w:ind w:left="720"/>
        <w:rPr>
          <w:rFonts w:ascii="Times New Roman" w:hAnsi="Times New Roman" w:cs="Times New Roman"/>
        </w:rPr>
      </w:pPr>
      <w:r w:rsidRPr="007E4BC1">
        <w:rPr>
          <w:rFonts w:ascii="Times New Roman" w:hAnsi="Times New Roman" w:cs="Times New Roman"/>
        </w:rPr>
        <w:t xml:space="preserve">The data must be erased to comply with a legal obligation </w:t>
      </w:r>
    </w:p>
    <w:p w:rsidR="004918D5" w:rsidRPr="007E4BC1" w:rsidRDefault="004918D5" w:rsidP="004918D5">
      <w:pPr>
        <w:spacing w:after="0"/>
        <w:ind w:left="30"/>
        <w:rPr>
          <w:rFonts w:ascii="Times New Roman" w:hAnsi="Times New Roman" w:cs="Times New Roman"/>
          <w:b/>
        </w:rPr>
      </w:pP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b/>
        </w:rPr>
        <w:t xml:space="preserve">Right to Restrict Processing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When this Right is exercised you are permitted to store the personal data but not further process it. Restricted information about the individual may be retained to ensure that the restriction is respected in the future.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The Right to Restrict Processing applies in the following circumstances: </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When a Data Subject contests the accuracy of their personal data, then processing should be restricted to storage only until accuracy is verified</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When a Data Subject objects to processing which is being carried out for the reason of performance of a task in the public interest, or for the legitimate interests of the Data Controller, then the Data Controller must restrict processing to storage only whilst they consider whether their legitimate grounds override the Rights and freedoms of the individual.  </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When processing is unlawful and a Data Subject opposes erasure and requests restriction to storage instead.</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lastRenderedPageBreak/>
        <w:t xml:space="preserve">When the Data Controller no longer needs the personal data but the Data Subject requires it for the purpose of a legal claim.  </w:t>
      </w: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b/>
        </w:rPr>
        <w:t xml:space="preserve"> </w:t>
      </w:r>
    </w:p>
    <w:p w:rsidR="004918D5" w:rsidRPr="007E4BC1" w:rsidRDefault="004918D5" w:rsidP="004918D5">
      <w:pPr>
        <w:spacing w:after="0"/>
        <w:rPr>
          <w:rFonts w:ascii="Times New Roman" w:hAnsi="Times New Roman" w:cs="Times New Roman"/>
          <w:b/>
        </w:rPr>
      </w:pPr>
      <w:r w:rsidRPr="007E4BC1">
        <w:rPr>
          <w:rFonts w:ascii="Times New Roman" w:hAnsi="Times New Roman" w:cs="Times New Roman"/>
          <w:b/>
        </w:rPr>
        <w:t xml:space="preserve">Right to Data Portability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This Right allows individuals to obtain and reuse their personal data for their own purposes across different services. It allows the individual to move, copy or transfer personal data easily from one IT environment to another in a safe and secure way in a common data format, for example, Excel or CSV file. </w:t>
      </w:r>
    </w:p>
    <w:p w:rsidR="004918D5" w:rsidRPr="007E4BC1" w:rsidRDefault="004918D5" w:rsidP="004918D5">
      <w:pPr>
        <w:spacing w:after="0"/>
        <w:rPr>
          <w:rFonts w:ascii="Times New Roman" w:hAnsi="Times New Roman" w:cs="Times New Roman"/>
        </w:rPr>
      </w:pPr>
      <w:r w:rsidRPr="007E4BC1">
        <w:rPr>
          <w:rFonts w:ascii="Times New Roman" w:hAnsi="Times New Roman" w:cs="Times New Roman"/>
        </w:rPr>
        <w:t xml:space="preserve">The Right to Data Portability applies in the following circumstances: </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When the personal data was provided to the controller directly by the Data Subject </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Where the processing is based on consent or performance of a contract </w:t>
      </w:r>
    </w:p>
    <w:p w:rsidR="004918D5" w:rsidRPr="007E4BC1" w:rsidRDefault="004918D5" w:rsidP="004918D5">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When processing is carried out by automated means  </w:t>
      </w:r>
    </w:p>
    <w:p w:rsidR="004918D5" w:rsidRPr="007E4BC1" w:rsidRDefault="004918D5" w:rsidP="004918D5">
      <w:pPr>
        <w:ind w:left="720" w:firstLine="30"/>
        <w:rPr>
          <w:rFonts w:ascii="Times New Roman" w:hAnsi="Times New Roman" w:cs="Times New Roman"/>
        </w:rPr>
      </w:pPr>
    </w:p>
    <w:p w:rsidR="00F2493D" w:rsidRPr="007E4BC1" w:rsidRDefault="004918D5" w:rsidP="00F2493D">
      <w:pPr>
        <w:spacing w:after="0"/>
        <w:rPr>
          <w:rFonts w:ascii="Times New Roman" w:hAnsi="Times New Roman" w:cs="Times New Roman"/>
          <w:b/>
        </w:rPr>
      </w:pPr>
      <w:r w:rsidRPr="007E4BC1">
        <w:rPr>
          <w:rFonts w:ascii="Times New Roman" w:hAnsi="Times New Roman" w:cs="Times New Roman"/>
          <w:b/>
        </w:rPr>
        <w:t xml:space="preserve">Right to Object </w:t>
      </w:r>
    </w:p>
    <w:p w:rsidR="00F2493D" w:rsidRPr="007E4BC1" w:rsidRDefault="004918D5" w:rsidP="00F2493D">
      <w:pPr>
        <w:spacing w:after="0"/>
        <w:rPr>
          <w:rFonts w:ascii="Times New Roman" w:hAnsi="Times New Roman" w:cs="Times New Roman"/>
        </w:rPr>
      </w:pPr>
      <w:r w:rsidRPr="007E4BC1">
        <w:rPr>
          <w:rFonts w:ascii="Times New Roman" w:hAnsi="Times New Roman" w:cs="Times New Roman"/>
        </w:rPr>
        <w:t>Individuals have the Right to object to:</w:t>
      </w:r>
    </w:p>
    <w:p w:rsidR="00F2493D"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Processing based on legitimate interest or performance of a task in the public interest/exercise of official authority (including profiling) </w:t>
      </w:r>
    </w:p>
    <w:p w:rsidR="00F2493D"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Direct marketing (including profiling) </w:t>
      </w:r>
    </w:p>
    <w:p w:rsidR="004918D5"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Processing for the purposes of scientific/historical research and statistics </w:t>
      </w:r>
    </w:p>
    <w:p w:rsidR="004918D5" w:rsidRPr="007E4BC1" w:rsidRDefault="004918D5" w:rsidP="00F2493D">
      <w:pPr>
        <w:spacing w:after="0"/>
        <w:rPr>
          <w:rFonts w:ascii="Times New Roman" w:hAnsi="Times New Roman" w:cs="Times New Roman"/>
        </w:rPr>
      </w:pPr>
      <w:r w:rsidRPr="007E4BC1">
        <w:rPr>
          <w:rFonts w:ascii="Times New Roman" w:hAnsi="Times New Roman" w:cs="Times New Roman"/>
        </w:rPr>
        <w:t xml:space="preserve"> </w:t>
      </w:r>
    </w:p>
    <w:p w:rsidR="007D2E1C" w:rsidRPr="007E4BC1" w:rsidRDefault="004918D5" w:rsidP="00F2493D">
      <w:pPr>
        <w:spacing w:after="0"/>
        <w:rPr>
          <w:rFonts w:ascii="Times New Roman" w:hAnsi="Times New Roman" w:cs="Times New Roman"/>
          <w:b/>
        </w:rPr>
      </w:pPr>
      <w:r w:rsidRPr="007E4BC1">
        <w:rPr>
          <w:rFonts w:ascii="Times New Roman" w:hAnsi="Times New Roman" w:cs="Times New Roman"/>
          <w:b/>
        </w:rPr>
        <w:t xml:space="preserve">Rights in Relation to Automatic Decision Making and Profiling  </w:t>
      </w:r>
    </w:p>
    <w:p w:rsidR="004918D5" w:rsidRPr="007E4BC1" w:rsidRDefault="004918D5" w:rsidP="00F2493D">
      <w:pPr>
        <w:spacing w:after="0"/>
        <w:rPr>
          <w:rFonts w:ascii="Times New Roman" w:hAnsi="Times New Roman" w:cs="Times New Roman"/>
        </w:rPr>
      </w:pPr>
      <w:r w:rsidRPr="007E4BC1">
        <w:rPr>
          <w:rFonts w:ascii="Times New Roman" w:hAnsi="Times New Roman" w:cs="Times New Roman"/>
        </w:rPr>
        <w:t xml:space="preserve">This Right provides safeguards for individuals against the risk that a potentially damaging decision is taken without human intervention.  </w:t>
      </w:r>
    </w:p>
    <w:p w:rsidR="00F2493D" w:rsidRPr="007E4BC1" w:rsidRDefault="004918D5" w:rsidP="00F2493D">
      <w:pPr>
        <w:spacing w:after="0"/>
        <w:rPr>
          <w:rFonts w:ascii="Times New Roman" w:hAnsi="Times New Roman" w:cs="Times New Roman"/>
        </w:rPr>
      </w:pPr>
      <w:r w:rsidRPr="007E4BC1">
        <w:rPr>
          <w:rFonts w:ascii="Times New Roman" w:hAnsi="Times New Roman" w:cs="Times New Roman"/>
        </w:rPr>
        <w:t xml:space="preserve">The Right not to be subject to a decision applies when: </w:t>
      </w:r>
    </w:p>
    <w:p w:rsidR="00F2493D"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It is based on automated processing </w:t>
      </w:r>
    </w:p>
    <w:p w:rsidR="004918D5"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It produces legal/significant effects on the individual </w:t>
      </w:r>
    </w:p>
    <w:p w:rsidR="00F2493D" w:rsidRPr="007E4BC1" w:rsidRDefault="00F2493D" w:rsidP="00F2493D">
      <w:pPr>
        <w:spacing w:after="0"/>
        <w:ind w:left="720"/>
        <w:rPr>
          <w:rFonts w:ascii="Times New Roman" w:hAnsi="Times New Roman" w:cs="Times New Roman"/>
        </w:rPr>
      </w:pPr>
    </w:p>
    <w:p w:rsidR="00F2493D" w:rsidRPr="007E4BC1" w:rsidRDefault="004918D5" w:rsidP="00F2493D">
      <w:pPr>
        <w:spacing w:after="0"/>
        <w:rPr>
          <w:rFonts w:ascii="Times New Roman" w:hAnsi="Times New Roman" w:cs="Times New Roman"/>
        </w:rPr>
      </w:pPr>
      <w:r w:rsidRPr="007E4BC1">
        <w:rPr>
          <w:rFonts w:ascii="Times New Roman" w:hAnsi="Times New Roman" w:cs="Times New Roman"/>
        </w:rPr>
        <w:t xml:space="preserve">It does not apply if the decision: </w:t>
      </w:r>
    </w:p>
    <w:p w:rsidR="00F2493D"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Is necessary for entering into or performance of a contract</w:t>
      </w:r>
    </w:p>
    <w:p w:rsidR="00F2493D"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Is </w:t>
      </w:r>
      <w:r w:rsidR="00F2493D" w:rsidRPr="007E4BC1">
        <w:rPr>
          <w:rFonts w:ascii="Times New Roman" w:hAnsi="Times New Roman" w:cs="Times New Roman"/>
        </w:rPr>
        <w:t>authorized</w:t>
      </w:r>
      <w:r w:rsidRPr="007E4BC1">
        <w:rPr>
          <w:rFonts w:ascii="Times New Roman" w:hAnsi="Times New Roman" w:cs="Times New Roman"/>
        </w:rPr>
        <w:t xml:space="preserve"> by law </w:t>
      </w:r>
    </w:p>
    <w:p w:rsidR="00F2493D"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Is based on explicit consent</w:t>
      </w:r>
    </w:p>
    <w:p w:rsidR="00CF11B8" w:rsidRPr="007E4BC1" w:rsidRDefault="004918D5" w:rsidP="00F2493D">
      <w:pPr>
        <w:pStyle w:val="ListParagraph"/>
        <w:numPr>
          <w:ilvl w:val="1"/>
          <w:numId w:val="7"/>
        </w:numPr>
        <w:spacing w:after="0"/>
        <w:ind w:left="720"/>
        <w:rPr>
          <w:rFonts w:ascii="Times New Roman" w:hAnsi="Times New Roman" w:cs="Times New Roman"/>
        </w:rPr>
      </w:pPr>
      <w:r w:rsidRPr="007E4BC1">
        <w:rPr>
          <w:rFonts w:ascii="Times New Roman" w:hAnsi="Times New Roman" w:cs="Times New Roman"/>
        </w:rPr>
        <w:t xml:space="preserve">Does not have a legal/significant effect on the data subject  </w:t>
      </w:r>
    </w:p>
    <w:p w:rsidR="00CF11B8" w:rsidRPr="007E4BC1" w:rsidRDefault="00CF11B8" w:rsidP="00F2493D">
      <w:pPr>
        <w:spacing w:after="0"/>
        <w:ind w:left="720"/>
        <w:rPr>
          <w:rFonts w:ascii="Times New Roman" w:hAnsi="Times New Roman" w:cs="Times New Roman"/>
        </w:rPr>
      </w:pPr>
    </w:p>
    <w:p w:rsidR="00CF11B8" w:rsidRPr="007E4BC1" w:rsidRDefault="00CF11B8" w:rsidP="00F2493D">
      <w:pPr>
        <w:ind w:left="720"/>
        <w:rPr>
          <w:rFonts w:ascii="Times New Roman" w:hAnsi="Times New Roman" w:cs="Times New Roman"/>
        </w:rPr>
      </w:pPr>
    </w:p>
    <w:p w:rsidR="00CF11B8" w:rsidRPr="007E4BC1" w:rsidRDefault="00CF11B8" w:rsidP="00CF11B8">
      <w:pPr>
        <w:rPr>
          <w:rFonts w:ascii="Times New Roman" w:hAnsi="Times New Roman" w:cs="Times New Roman"/>
        </w:rPr>
      </w:pPr>
    </w:p>
    <w:p w:rsidR="00CF11B8" w:rsidRPr="007E4BC1" w:rsidRDefault="00CF11B8">
      <w:pPr>
        <w:rPr>
          <w:rFonts w:ascii="Times New Roman" w:hAnsi="Times New Roman" w:cs="Times New Roman"/>
        </w:rPr>
      </w:pPr>
    </w:p>
    <w:sectPr w:rsidR="00CF11B8" w:rsidRPr="007E4BC1" w:rsidSect="00334C7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FC" w:rsidRDefault="00DF51FC" w:rsidP="00DF51FC">
      <w:pPr>
        <w:spacing w:after="0" w:line="240" w:lineRule="auto"/>
      </w:pPr>
      <w:r>
        <w:separator/>
      </w:r>
    </w:p>
  </w:endnote>
  <w:endnote w:type="continuationSeparator" w:id="1">
    <w:p w:rsidR="00DF51FC" w:rsidRDefault="00DF51FC" w:rsidP="00DF5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05" w:rsidRDefault="00483505">
    <w:pPr>
      <w:pStyle w:val="Footer"/>
      <w:pBdr>
        <w:top w:val="thinThickSmallGap" w:sz="24" w:space="1" w:color="622423" w:themeColor="accent2" w:themeShade="7F"/>
      </w:pBdr>
      <w:rPr>
        <w:rFonts w:asciiTheme="majorHAnsi" w:hAnsiTheme="majorHAnsi"/>
      </w:rPr>
    </w:pPr>
    <w:r>
      <w:rPr>
        <w:rFonts w:asciiTheme="majorHAnsi" w:hAnsiTheme="majorHAnsi"/>
      </w:rPr>
      <w:t>Acquire Inc</w:t>
    </w:r>
    <w:r>
      <w:rPr>
        <w:rFonts w:asciiTheme="majorHAnsi" w:hAnsiTheme="majorHAnsi"/>
      </w:rPr>
      <w:ptab w:relativeTo="margin" w:alignment="right" w:leader="none"/>
    </w:r>
    <w:r>
      <w:rPr>
        <w:rFonts w:asciiTheme="majorHAnsi" w:hAnsiTheme="majorHAnsi"/>
      </w:rPr>
      <w:t xml:space="preserve">Page </w:t>
    </w:r>
    <w:fldSimple w:instr=" PAGE   \* MERGEFORMAT ">
      <w:r w:rsidRPr="00483505">
        <w:rPr>
          <w:rFonts w:asciiTheme="majorHAnsi" w:hAnsiTheme="majorHAnsi"/>
          <w:noProof/>
        </w:rPr>
        <w:t>7</w:t>
      </w:r>
    </w:fldSimple>
  </w:p>
  <w:p w:rsidR="00DF51FC" w:rsidRDefault="00DF5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FC" w:rsidRDefault="00DF51FC" w:rsidP="00DF51FC">
      <w:pPr>
        <w:spacing w:after="0" w:line="240" w:lineRule="auto"/>
      </w:pPr>
      <w:r>
        <w:separator/>
      </w:r>
    </w:p>
  </w:footnote>
  <w:footnote w:type="continuationSeparator" w:id="1">
    <w:p w:rsidR="00DF51FC" w:rsidRDefault="00DF51FC" w:rsidP="00DF5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F51FC">
      <w:trPr>
        <w:trHeight w:val="288"/>
      </w:trPr>
      <w:sdt>
        <w:sdtPr>
          <w:rPr>
            <w:rFonts w:ascii="Times New Roman" w:eastAsia="PMingLiU" w:hAnsi="Times New Roman" w:cs="Times New Roman"/>
            <w:bCs/>
            <w:kern w:val="32"/>
            <w:sz w:val="32"/>
            <w:szCs w:val="32"/>
          </w:rPr>
          <w:alias w:val="Title"/>
          <w:id w:val="77761602"/>
          <w:placeholder>
            <w:docPart w:val="3222DA572D25493684424618420EF76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F51FC" w:rsidRDefault="00511C86" w:rsidP="00DF51FC">
              <w:pPr>
                <w:pStyle w:val="Header"/>
                <w:jc w:val="right"/>
                <w:rPr>
                  <w:rFonts w:asciiTheme="majorHAnsi" w:eastAsiaTheme="majorEastAsia" w:hAnsiTheme="majorHAnsi" w:cstheme="majorBidi"/>
                  <w:sz w:val="36"/>
                  <w:szCs w:val="36"/>
                </w:rPr>
              </w:pPr>
              <w:r w:rsidRPr="00511C86">
                <w:rPr>
                  <w:rFonts w:ascii="Times New Roman" w:eastAsia="PMingLiU" w:hAnsi="Times New Roman" w:cs="Times New Roman"/>
                  <w:bCs/>
                  <w:kern w:val="32"/>
                  <w:sz w:val="32"/>
                  <w:szCs w:val="32"/>
                </w:rPr>
                <w:t>Data subject Access Request Policy and Procedure</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rsidR="00DF51FC" w:rsidRDefault="00DF51FC" w:rsidP="00DF51F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DF51FC" w:rsidRDefault="00DF5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F2A"/>
    <w:multiLevelType w:val="multilevel"/>
    <w:tmpl w:val="E0304B9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001590"/>
    <w:multiLevelType w:val="hybridMultilevel"/>
    <w:tmpl w:val="B67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50E7A"/>
    <w:multiLevelType w:val="hybridMultilevel"/>
    <w:tmpl w:val="45205296"/>
    <w:lvl w:ilvl="0" w:tplc="04090019">
      <w:start w:val="1"/>
      <w:numFmt w:val="lowerLetter"/>
      <w:lvlText w:val="%1."/>
      <w:lvlJc w:val="left"/>
      <w:pPr>
        <w:ind w:left="1440" w:hanging="360"/>
      </w:pPr>
    </w:lvl>
    <w:lvl w:ilvl="1" w:tplc="1D80F886">
      <w:start w:val="6"/>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02198"/>
    <w:multiLevelType w:val="multilevel"/>
    <w:tmpl w:val="795C3F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37731"/>
    <w:multiLevelType w:val="multilevel"/>
    <w:tmpl w:val="4E72F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F97095"/>
    <w:multiLevelType w:val="hybridMultilevel"/>
    <w:tmpl w:val="455E7334"/>
    <w:lvl w:ilvl="0" w:tplc="04090013">
      <w:start w:val="1"/>
      <w:numFmt w:val="upperRoman"/>
      <w:lvlText w:val="%1."/>
      <w:lvlJc w:val="right"/>
      <w:pPr>
        <w:ind w:left="1440" w:hanging="360"/>
      </w:pPr>
    </w:lvl>
    <w:lvl w:ilvl="1" w:tplc="1D80F886">
      <w:start w:val="6"/>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B70AE"/>
    <w:multiLevelType w:val="hybridMultilevel"/>
    <w:tmpl w:val="1C789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2D1558"/>
    <w:multiLevelType w:val="multilevel"/>
    <w:tmpl w:val="F504400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D82E52"/>
    <w:multiLevelType w:val="hybridMultilevel"/>
    <w:tmpl w:val="C21671AE"/>
    <w:lvl w:ilvl="0" w:tplc="A730863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D23A0"/>
    <w:multiLevelType w:val="hybridMultilevel"/>
    <w:tmpl w:val="C3E25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8135BC"/>
    <w:multiLevelType w:val="hybridMultilevel"/>
    <w:tmpl w:val="6558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B6127C"/>
    <w:multiLevelType w:val="hybridMultilevel"/>
    <w:tmpl w:val="21FE8742"/>
    <w:lvl w:ilvl="0" w:tplc="04090001">
      <w:start w:val="1"/>
      <w:numFmt w:val="bullet"/>
      <w:lvlText w:val=""/>
      <w:lvlJc w:val="left"/>
      <w:pPr>
        <w:ind w:left="1440" w:hanging="360"/>
      </w:pPr>
      <w:rPr>
        <w:rFonts w:ascii="Symbol" w:hAnsi="Symbol" w:hint="default"/>
      </w:rPr>
    </w:lvl>
    <w:lvl w:ilvl="1" w:tplc="70169E5E">
      <w:start w:val="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3E775D"/>
    <w:multiLevelType w:val="hybridMultilevel"/>
    <w:tmpl w:val="D9FE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F28C7"/>
    <w:multiLevelType w:val="hybridMultilevel"/>
    <w:tmpl w:val="DAD4A7E4"/>
    <w:lvl w:ilvl="0" w:tplc="F7B21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E3423F"/>
    <w:multiLevelType w:val="hybridMultilevel"/>
    <w:tmpl w:val="61742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1D2738"/>
    <w:multiLevelType w:val="hybridMultilevel"/>
    <w:tmpl w:val="9DF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60569"/>
    <w:multiLevelType w:val="hybridMultilevel"/>
    <w:tmpl w:val="856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24314"/>
    <w:multiLevelType w:val="hybridMultilevel"/>
    <w:tmpl w:val="48D80506"/>
    <w:lvl w:ilvl="0" w:tplc="04090019">
      <w:start w:val="1"/>
      <w:numFmt w:val="lowerLetter"/>
      <w:lvlText w:val="%1."/>
      <w:lvlJc w:val="left"/>
      <w:pPr>
        <w:ind w:left="1440" w:hanging="360"/>
      </w:pPr>
    </w:lvl>
    <w:lvl w:ilvl="1" w:tplc="1D80F886">
      <w:start w:val="6"/>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492F5B"/>
    <w:multiLevelType w:val="hybridMultilevel"/>
    <w:tmpl w:val="C53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3555C"/>
    <w:multiLevelType w:val="hybridMultilevel"/>
    <w:tmpl w:val="519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A39D2"/>
    <w:multiLevelType w:val="hybridMultilevel"/>
    <w:tmpl w:val="F32A2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C68FD"/>
    <w:multiLevelType w:val="hybridMultilevel"/>
    <w:tmpl w:val="1E3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C50FA"/>
    <w:multiLevelType w:val="hybridMultilevel"/>
    <w:tmpl w:val="763A2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20"/>
  </w:num>
  <w:num w:numId="6">
    <w:abstractNumId w:val="0"/>
  </w:num>
  <w:num w:numId="7">
    <w:abstractNumId w:val="5"/>
  </w:num>
  <w:num w:numId="8">
    <w:abstractNumId w:val="22"/>
  </w:num>
  <w:num w:numId="9">
    <w:abstractNumId w:val="14"/>
  </w:num>
  <w:num w:numId="10">
    <w:abstractNumId w:val="11"/>
  </w:num>
  <w:num w:numId="11">
    <w:abstractNumId w:val="8"/>
  </w:num>
  <w:num w:numId="12">
    <w:abstractNumId w:val="1"/>
  </w:num>
  <w:num w:numId="13">
    <w:abstractNumId w:val="6"/>
  </w:num>
  <w:num w:numId="14">
    <w:abstractNumId w:val="19"/>
  </w:num>
  <w:num w:numId="15">
    <w:abstractNumId w:val="16"/>
  </w:num>
  <w:num w:numId="16">
    <w:abstractNumId w:val="18"/>
  </w:num>
  <w:num w:numId="17">
    <w:abstractNumId w:val="15"/>
  </w:num>
  <w:num w:numId="18">
    <w:abstractNumId w:val="21"/>
  </w:num>
  <w:num w:numId="19">
    <w:abstractNumId w:val="12"/>
  </w:num>
  <w:num w:numId="20">
    <w:abstractNumId w:val="7"/>
  </w:num>
  <w:num w:numId="21">
    <w:abstractNumId w:val="2"/>
  </w:num>
  <w:num w:numId="22">
    <w:abstractNumId w:val="1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F11B8"/>
    <w:rsid w:val="00190459"/>
    <w:rsid w:val="002377F6"/>
    <w:rsid w:val="002446C5"/>
    <w:rsid w:val="0025079A"/>
    <w:rsid w:val="002D55AE"/>
    <w:rsid w:val="00312608"/>
    <w:rsid w:val="00334C77"/>
    <w:rsid w:val="003A1A66"/>
    <w:rsid w:val="003C25B4"/>
    <w:rsid w:val="00405390"/>
    <w:rsid w:val="00410E61"/>
    <w:rsid w:val="00441BA2"/>
    <w:rsid w:val="00483505"/>
    <w:rsid w:val="004918D5"/>
    <w:rsid w:val="004D216F"/>
    <w:rsid w:val="00510FF6"/>
    <w:rsid w:val="00511C86"/>
    <w:rsid w:val="00597DC1"/>
    <w:rsid w:val="005C74C2"/>
    <w:rsid w:val="006F0BA3"/>
    <w:rsid w:val="007014B2"/>
    <w:rsid w:val="00704B1E"/>
    <w:rsid w:val="0071791A"/>
    <w:rsid w:val="00744C4B"/>
    <w:rsid w:val="00757342"/>
    <w:rsid w:val="007C2C67"/>
    <w:rsid w:val="007D2E1C"/>
    <w:rsid w:val="007E4BC1"/>
    <w:rsid w:val="007F491D"/>
    <w:rsid w:val="008018B9"/>
    <w:rsid w:val="00805CF4"/>
    <w:rsid w:val="008D14B5"/>
    <w:rsid w:val="00962A15"/>
    <w:rsid w:val="00A21E76"/>
    <w:rsid w:val="00B60AFD"/>
    <w:rsid w:val="00BF52FA"/>
    <w:rsid w:val="00C149FF"/>
    <w:rsid w:val="00CC3FFF"/>
    <w:rsid w:val="00CF11B8"/>
    <w:rsid w:val="00DD7D43"/>
    <w:rsid w:val="00DF51FC"/>
    <w:rsid w:val="00E65EB1"/>
    <w:rsid w:val="00F24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77"/>
  </w:style>
  <w:style w:type="paragraph" w:styleId="Heading1">
    <w:name w:val="heading 1"/>
    <w:basedOn w:val="Normal"/>
    <w:next w:val="Normal"/>
    <w:link w:val="Heading1Char"/>
    <w:qFormat/>
    <w:rsid w:val="00CF11B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1B8"/>
    <w:rPr>
      <w:rFonts w:ascii="Cambria" w:eastAsia="Times New Roman" w:hAnsi="Cambria" w:cs="Times New Roman"/>
      <w:b/>
      <w:bCs/>
      <w:kern w:val="32"/>
      <w:sz w:val="32"/>
      <w:szCs w:val="32"/>
    </w:rPr>
  </w:style>
  <w:style w:type="paragraph" w:styleId="ListParagraph">
    <w:name w:val="List Paragraph"/>
    <w:basedOn w:val="Normal"/>
    <w:uiPriority w:val="34"/>
    <w:qFormat/>
    <w:rsid w:val="00CF11B8"/>
    <w:pPr>
      <w:ind w:left="720"/>
      <w:contextualSpacing/>
    </w:pPr>
  </w:style>
  <w:style w:type="character" w:styleId="Hyperlink">
    <w:name w:val="Hyperlink"/>
    <w:basedOn w:val="DefaultParagraphFont"/>
    <w:uiPriority w:val="99"/>
    <w:unhideWhenUsed/>
    <w:rsid w:val="00E65EB1"/>
    <w:rPr>
      <w:color w:val="0000FF" w:themeColor="hyperlink"/>
      <w:u w:val="single"/>
    </w:rPr>
  </w:style>
  <w:style w:type="paragraph" w:styleId="TOCHeading">
    <w:name w:val="TOC Heading"/>
    <w:basedOn w:val="Heading1"/>
    <w:next w:val="Normal"/>
    <w:uiPriority w:val="39"/>
    <w:semiHidden/>
    <w:unhideWhenUsed/>
    <w:qFormat/>
    <w:rsid w:val="0025079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qFormat/>
    <w:rsid w:val="0025079A"/>
    <w:pPr>
      <w:spacing w:after="100"/>
      <w:ind w:left="220"/>
    </w:pPr>
    <w:rPr>
      <w:rFonts w:eastAsiaTheme="minorEastAsia"/>
    </w:rPr>
  </w:style>
  <w:style w:type="paragraph" w:styleId="TOC1">
    <w:name w:val="toc 1"/>
    <w:basedOn w:val="Normal"/>
    <w:next w:val="Normal"/>
    <w:autoRedefine/>
    <w:uiPriority w:val="39"/>
    <w:semiHidden/>
    <w:unhideWhenUsed/>
    <w:qFormat/>
    <w:rsid w:val="0025079A"/>
    <w:pPr>
      <w:spacing w:after="100"/>
    </w:pPr>
    <w:rPr>
      <w:rFonts w:eastAsiaTheme="minorEastAsia"/>
    </w:rPr>
  </w:style>
  <w:style w:type="paragraph" w:styleId="TOC3">
    <w:name w:val="toc 3"/>
    <w:basedOn w:val="Normal"/>
    <w:next w:val="Normal"/>
    <w:autoRedefine/>
    <w:uiPriority w:val="39"/>
    <w:semiHidden/>
    <w:unhideWhenUsed/>
    <w:qFormat/>
    <w:rsid w:val="0025079A"/>
    <w:pPr>
      <w:spacing w:after="100"/>
      <w:ind w:left="440"/>
    </w:pPr>
    <w:rPr>
      <w:rFonts w:eastAsiaTheme="minorEastAsia"/>
    </w:rPr>
  </w:style>
  <w:style w:type="paragraph" w:styleId="BalloonText">
    <w:name w:val="Balloon Text"/>
    <w:basedOn w:val="Normal"/>
    <w:link w:val="BalloonTextChar"/>
    <w:uiPriority w:val="99"/>
    <w:semiHidden/>
    <w:unhideWhenUsed/>
    <w:rsid w:val="00250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A"/>
    <w:rPr>
      <w:rFonts w:ascii="Tahoma" w:hAnsi="Tahoma" w:cs="Tahoma"/>
      <w:sz w:val="16"/>
      <w:szCs w:val="16"/>
    </w:rPr>
  </w:style>
  <w:style w:type="paragraph" w:styleId="Header">
    <w:name w:val="header"/>
    <w:basedOn w:val="Normal"/>
    <w:link w:val="HeaderChar"/>
    <w:uiPriority w:val="99"/>
    <w:unhideWhenUsed/>
    <w:rsid w:val="00DF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1FC"/>
  </w:style>
  <w:style w:type="paragraph" w:styleId="Footer">
    <w:name w:val="footer"/>
    <w:basedOn w:val="Normal"/>
    <w:link w:val="FooterChar"/>
    <w:uiPriority w:val="99"/>
    <w:unhideWhenUsed/>
    <w:rsid w:val="00DF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hka@acquire.i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22DA572D25493684424618420EF76A"/>
        <w:category>
          <w:name w:val="General"/>
          <w:gallery w:val="placeholder"/>
        </w:category>
        <w:types>
          <w:type w:val="bbPlcHdr"/>
        </w:types>
        <w:behaviors>
          <w:behavior w:val="content"/>
        </w:behaviors>
        <w:guid w:val="{8204C0B3-2C28-47E3-863E-3CF42FDCD1C2}"/>
      </w:docPartPr>
      <w:docPartBody>
        <w:p w:rsidR="002273F3" w:rsidRDefault="00F506CC" w:rsidP="00F506CC">
          <w:pPr>
            <w:pStyle w:val="3222DA572D25493684424618420EF76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06CC"/>
    <w:rsid w:val="002273F3"/>
    <w:rsid w:val="00BA4D86"/>
    <w:rsid w:val="00F50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5890611C1407ABB7CAF568FEE5EF2">
    <w:name w:val="4265890611C1407ABB7CAF568FEE5EF2"/>
    <w:rsid w:val="00F506CC"/>
  </w:style>
  <w:style w:type="paragraph" w:customStyle="1" w:styleId="CCA6E9D04C9B48FE8F4C4D969959B49A">
    <w:name w:val="CCA6E9D04C9B48FE8F4C4D969959B49A"/>
    <w:rsid w:val="00F506CC"/>
  </w:style>
  <w:style w:type="paragraph" w:customStyle="1" w:styleId="9D095A0A14B94AD6AFF84C6BC2351074">
    <w:name w:val="9D095A0A14B94AD6AFF84C6BC2351074"/>
    <w:rsid w:val="00F506CC"/>
  </w:style>
  <w:style w:type="paragraph" w:customStyle="1" w:styleId="A78AD64C42BC4392BDDFB7C573B7D1BC">
    <w:name w:val="A78AD64C42BC4392BDDFB7C573B7D1BC"/>
    <w:rsid w:val="00F506CC"/>
  </w:style>
  <w:style w:type="paragraph" w:customStyle="1" w:styleId="675827A493444E1D892D0D6E54E486DD">
    <w:name w:val="675827A493444E1D892D0D6E54E486DD"/>
    <w:rsid w:val="00F506CC"/>
  </w:style>
  <w:style w:type="paragraph" w:customStyle="1" w:styleId="0472B025675A4473A5C44AD0212ED9F1">
    <w:name w:val="0472B025675A4473A5C44AD0212ED9F1"/>
    <w:rsid w:val="00F506CC"/>
  </w:style>
  <w:style w:type="paragraph" w:customStyle="1" w:styleId="3222DA572D25493684424618420EF76A">
    <w:name w:val="3222DA572D25493684424618420EF76A"/>
    <w:rsid w:val="00F506CC"/>
  </w:style>
  <w:style w:type="paragraph" w:customStyle="1" w:styleId="5EFEB98AFA794605B1023B3A0CDC1AFB">
    <w:name w:val="5EFEB98AFA794605B1023B3A0CDC1AFB"/>
    <w:rsid w:val="00F506CC"/>
  </w:style>
  <w:style w:type="paragraph" w:customStyle="1" w:styleId="CE17C197E9304C05B4ED466BE43AF074">
    <w:name w:val="CE17C197E9304C05B4ED466BE43AF074"/>
    <w:rsid w:val="00BA4D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590A16-4269-4BA7-A223-5EA266DE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Policy and Procedure</dc:title>
  <dc:creator>Windows User</dc:creator>
  <cp:lastModifiedBy>Windows User</cp:lastModifiedBy>
  <cp:revision>21</cp:revision>
  <dcterms:created xsi:type="dcterms:W3CDTF">2018-05-04T09:35:00Z</dcterms:created>
  <dcterms:modified xsi:type="dcterms:W3CDTF">2018-05-15T10:31:00Z</dcterms:modified>
</cp:coreProperties>
</file>